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June 18, 2026 (June 17, 2026)</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Chicago Atlantic Real Estate Finance, Inc.</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3600" w:type="dxa"/>
            <w:vAlign w:val="bottom"/>
          </w:tcPr>
          <w:p>
            <w:pPr>
              <w:spacing w:after="0"/>
              <w:rPr>
                <w:sz w:val="18"/>
                <w:szCs w:val="18"/>
                <w:color w:val="auto"/>
              </w:rPr>
            </w:pPr>
          </w:p>
        </w:tc>
      </w:tr>
      <w:tr>
        <w:trPr>
          <w:trHeight w:val="39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8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8"/>
              </w:rPr>
              <w:t>001-41123</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1680 Michigan Avenue Suite 700</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Miami Beach, Florida 33139</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384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(312) 625-9295</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600" w:type="dxa"/>
            <w:vAlign w:val="bottom"/>
          </w:tcPr>
          <w:p>
            <w:pPr>
              <w:spacing w:after="0"/>
              <w:rPr>
                <w:sz w:val="18"/>
                <w:szCs w:val="18"/>
                <w:color w:val="auto"/>
              </w:rPr>
            </w:pPr>
          </w:p>
        </w:tc>
      </w:tr>
    </w:tbl>
    <w:p>
      <w:pPr>
        <w:spacing w:after="0" w:line="172" w:lineRule="exact"/>
        <w:rPr>
          <w:sz w:val="24"/>
          <w:szCs w:val="24"/>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684" w:right="3500" w:hanging="3684"/>
        <w:spacing w:after="0" w:line="540" w:lineRule="auto"/>
        <w:tabs>
          <w:tab w:leader="none" w:pos="291"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REFI</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Global Market</w:t>
            </w:r>
          </w:p>
        </w:tc>
      </w:tr>
    </w:tbl>
    <w:p>
      <w:pPr>
        <w:spacing w:after="0" w:line="17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an emerging growth company as defined in Rule 12b-2 of the Exchange Act.</w:t>
      </w:r>
    </w:p>
    <w:p>
      <w:pPr>
        <w:spacing w:after="0" w:line="165"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4"/>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June 17, 2026,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with Chicago Atlantic BDC, Inc., a Maryland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BDC Advisers, LLC, a Delaware limited liability company and the investment adviser to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Chicago Atlantic REIT Manager, LLC, a Delaware limited liability company and the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and together with Acquiror Adviser, the “</w:t>
      </w:r>
      <w:r>
        <w:rPr>
          <w:rFonts w:ascii="Times New Roman" w:cs="Times New Roman" w:eastAsia="Times New Roman" w:hAnsi="Times New Roman"/>
          <w:sz w:val="16"/>
          <w:szCs w:val="16"/>
          <w:u w:val="single" w:color="auto"/>
          <w:color w:val="auto"/>
        </w:rPr>
        <w:t>Advisers</w:t>
      </w:r>
      <w:r>
        <w:rPr>
          <w:rFonts w:ascii="Times New Roman" w:cs="Times New Roman" w:eastAsia="Times New Roman" w:hAnsi="Times New Roman"/>
          <w:sz w:val="16"/>
          <w:szCs w:val="16"/>
          <w:color w:val="auto"/>
        </w:rPr>
        <w:t>”). Pursuant to the terms of the Merger Agreement, the Company will merge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Acquiror continuing as the surviving company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 Following the Merger, the Surviving Company intends to continue to be treated as a regulated investment company (a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 under Sections 851 and 852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The parties intend the Merger to be treated as a “reorganization” within the meaning of Section 368(a) of the Code.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Prior to the Merger, the Company, which has previously elected to be taxed as a real estate investment trust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will elect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Form N-54A with the United States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the time of such filing, the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Prior to the BDC Election, the Company will adopt, subject to approval by its stockholders, a new investment advisory agreement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 with the Acquiror Adviser, which will remain in effect until the Merger Effective Time (defined herein). The Company’s current management agreement with the Company Manager will terminate automatically upon the BDC Election Time, and the New BDC Advisory Agreement will terminate automatically upon the Merger Effective Time, in each case without termination notice or termination payment.</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upon the unanimous recommendation of a special committee comprised solely of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unanimously (i) determined that the Merger Agreement, the BDC Election and the terms of the Merger and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are fair to, and in the best interests of, the Company and its stockholders, and that the Company’s existing stockholders will not suffer dilution as a result of the Transactions, (ii) approved and declared advisable the Merger Agreement, the BDC Election and the other Transactions, (iii) directed that the matters relating to the BDC Election and the adoption of the New BDC Advisory Agreement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and the matters relating to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a meeting of the Company’s stockholders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Stockholders Meeting</w:t>
      </w:r>
      <w:r>
        <w:rPr>
          <w:rFonts w:ascii="Times New Roman" w:cs="Times New Roman" w:eastAsia="Times New Roman" w:hAnsi="Times New Roman"/>
          <w:sz w:val="16"/>
          <w:szCs w:val="16"/>
          <w:color w:val="auto"/>
        </w:rPr>
        <w:t>”), and (iv) resolved to recommend that the Company’s stockholders approve the Company BDC Election Matters and the Company Merger Matters at the Company Stockholders Meeting.</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connection with its evaluation of the Merger, the Company Special Committee received the opinion of Oppenheimer &amp; Co. Inc., financial advisor to the Company Special Committee, to the effect that, as of the date of such opinion and based upon and subject to the various assumptions, limitations, qualifications and other matters set forth therein, the Exchange Ratio (defined herein) is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Merger Effective Time</w:t>
      </w:r>
      <w:r>
        <w:rPr>
          <w:rFonts w:ascii="Times New Roman" w:cs="Times New Roman" w:eastAsia="Times New Roman" w:hAnsi="Times New Roman"/>
          <w:sz w:val="16"/>
          <w:szCs w:val="16"/>
          <w:color w:val="auto"/>
        </w:rPr>
        <w:t>”), each share of common stock, par value $0.01 per share, of the Company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(other than shares owned by Acquiror or any of its consolidated subsidiaries, which will be cancelled for no consideration) will be converted into the right to receive a number of shares of common stock, par value $0.01 per share, of Acquiror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equal to the Exchange Ratio (defined herein)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is the ratio of the net asset value per share of Company Common Stock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to the net asset value per share of Acquiror Common Stock (the “</w:t>
      </w:r>
      <w:r>
        <w:rPr>
          <w:rFonts w:ascii="Times New Roman" w:cs="Times New Roman" w:eastAsia="Times New Roman" w:hAnsi="Times New Roman"/>
          <w:sz w:val="16"/>
          <w:szCs w:val="16"/>
          <w:u w:val="single" w:color="auto"/>
          <w:color w:val="auto"/>
        </w:rPr>
        <w:t>Acquiror Closing Net Asset Value</w:t>
      </w:r>
      <w:r>
        <w:rPr>
          <w:rFonts w:ascii="Times New Roman" w:cs="Times New Roman" w:eastAsia="Times New Roman" w:hAnsi="Times New Roman"/>
          <w:sz w:val="16"/>
          <w:szCs w:val="16"/>
          <w:color w:val="auto"/>
        </w:rPr>
        <w:t>”), each of which will be calculated in good faith as of a date no earlier than 48 hours (excluding Sundays and holidays) prior to the Merger Effective Time, based on the valuation principles, assumptions and methodologies set forth in Exhibit A to the Merger Agreement, and subject to customary approval and certification procedures.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spacing w:after="0" w:line="265" w:lineRule="auto"/>
        <w:rPr>
          <w:sz w:val="20"/>
          <w:szCs w:val="20"/>
          <w:color w:val="auto"/>
        </w:rPr>
      </w:pPr>
      <w:r>
        <w:rPr>
          <w:rFonts w:ascii="Times New Roman" w:cs="Times New Roman" w:eastAsia="Times New Roman" w:hAnsi="Times New Roman"/>
          <w:sz w:val="16"/>
          <w:szCs w:val="16"/>
          <w:color w:val="auto"/>
        </w:rPr>
        <w:t>Each holder of Company Common Stock that would otherwise be entitled to receive a fractional share of Acquiror Common Stock will receive, in lieu thereof, cash (without interest) based on the volume-weighted average trading price of Acquiror Common Stock on the Nasdaq Global Market (the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for the five consecutive trading days ending on the third trading day preceding the Closing Date (as defined in the Merger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Stockholder Approvals.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Consummation of the Transactions requires the affirmative vote of: (i) the lesser of (A) 67% of the shares of Company Common Stock present at a meeting at which more than 50% of the outstanding shares are present, or (B) more than 50% of the outstanding shares of Company Common Stock, to approve the BDC Election and the New BDC Advisory Agreement; and (ii) with respect to the adoption of the Merger Agreement and to approve the Company Merger Matters, the affirmative vote of (A) a majority of the outstanding shares of Company Common Stock and (B) a majority of the shares of Company Common Stock voted at the Company Stockholders Meeting other than shares held by Acquiror, the Acquiror Adviser, the Company Manager, any director or executive officer of any of the foregoing, any stockholder party to a Support Agreement (defined herein), and any of their respective affiliates, (together, the “</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Consummation of the Transactions also requires the affirmative vote of: (i) a majority of the votes cast by the holders of outstanding shares of Acquiror Common Stock at a meeting of Acquiror’s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to approve the issuance of Acquiror Common Stock in connection with the Merger; and (ii) with respect to the adoption of the Merger Agreement and the approval of the Merger and the other Transactions, (X) a majority of the outstanding shares of Acquiror Common Stock and (Y) a majority of the shares of Acquiror Common Stock voted at the Acquiror Stockholders Meeting other than shares held by Acquiror, the Acquiror Adviser, the Company, the Company Manager, any director or executive officer of any of the foregoing, any stockholder party to a Support Agreement, and any of their respective affiliates (together, the “</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addition to the Acquiror Requisite Vote and the Company Requisite Vote, consummation of the Merger requires the Company Board (on the recommendation of the Company Special Committee) to approve certain matters required by Rule 17a-8 under the Investment Company Act (the “</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Receipt of the Post-BDC Election Approvals is a condition to the Company’s obligation to submit the Company Merger Matters to its stockholders at the Company Stockholders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Maryland General Corporation Law, no appraisal rights are available to holders of Company Common Stock in connection with the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Filings.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Merger Agreement contemplates the filing with the SEC of the BDC Election on Form N-54A, and a registration statement on Form N-14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which is a joint proxy statement/prospectus relating to the Company Stockholders Meeting and the Acquiror Stockholders Meeting (the “</w:t>
      </w:r>
      <w:r>
        <w:rPr>
          <w:rFonts w:ascii="Times New Roman" w:cs="Times New Roman" w:eastAsia="Times New Roman" w:hAnsi="Times New Roman"/>
          <w:sz w:val="16"/>
          <w:szCs w:val="16"/>
          <w:u w:val="single" w:color="auto"/>
          <w:color w:val="auto"/>
        </w:rPr>
        <w:t>Joint Proxy Statement/Prospectus</w:t>
      </w:r>
      <w:r>
        <w:rPr>
          <w:rFonts w:ascii="Times New Roman" w:cs="Times New Roman" w:eastAsia="Times New Roman" w:hAnsi="Times New Roman"/>
          <w:sz w:val="16"/>
          <w:szCs w:val="16"/>
          <w:color w:val="auto"/>
        </w:rPr>
        <w:t>”) that will be included as a prospectus, and the declaration of effectiveness of the Registration Statement by the SEC. The Merger Agreement also contemplates the filing of the articles of merger (the “</w:t>
      </w:r>
      <w:r>
        <w:rPr>
          <w:rFonts w:ascii="Times New Roman" w:cs="Times New Roman" w:eastAsia="Times New Roman" w:hAnsi="Times New Roman"/>
          <w:sz w:val="16"/>
          <w:szCs w:val="16"/>
          <w:u w:val="single" w:color="auto"/>
          <w:color w:val="auto"/>
        </w:rPr>
        <w:t>Articles of Merger</w:t>
      </w:r>
      <w:r>
        <w:rPr>
          <w:rFonts w:ascii="Times New Roman" w:cs="Times New Roman" w:eastAsia="Times New Roman" w:hAnsi="Times New Roman"/>
          <w:sz w:val="16"/>
          <w:szCs w:val="16"/>
          <w:color w:val="auto"/>
        </w:rPr>
        <w:t>”) with, and acceptance for record by, the State Department of Assessments and Taxation of Maryland, and filings and approvals under applicable state securities laws and the rules of Nasdaq, including in connection with approval of the listing of the shares of Acquiror Common Stock to be issued as Merger Consideration.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Representations and Warranties.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Merger Agreement contains representations and warranties of the Company, Acquiror and the Advisers that are customary for transactions similar to the Merger, including representations regarding corporate organization, capitalization, authority, governmental consents, financial statements, compliance with law, absence of changes, taxes, litigation, material contracts, investment assets, and valuation matters specific to the BDC and REIT regulatory context. The representations and warranties do not survive the Merger Effective Time.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Merger Agreement contains covenants requiring each of the Company and Acquiror, during the period from the date of the Merger Agreement until the earlier of the Merger Effective Time or termination of the Merger Agreement to (i) conduct its business in the ordinary course consistent with past practice and its publicly disclosed investment objectives and policies, and (ii) use reasonable best efforts to maintain and preserve its business organization and existing business relationships. The Merger Agreement also contains customary forbearances restricting certain actions without the prior written consent of the other party, including with respect to issuance of securities, declaration of dividends (subject to exceptions for regular quarterly distributions, distributions necessary to maintain RIC or REIT qualification, and Tax Dividends (as defined in the Merger Agreement)), dispositions and acquisitions of assets, amendments to organizational documents, incurrence of indebtedness, and entry into, amendment, or termination of material contracts.</w:t>
      </w:r>
    </w:p>
    <w:p>
      <w:pPr>
        <w:spacing w:after="0" w:line="16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Merger Agreement also contains additional covenants of the parties, including covenants to use reasonable best efforts to obtain required regulatory and other approvals; to cooperate in the preparation and filing of the Registration Statement; to convene meetings of their respective stockholders; to provide indemnification and directors’ and officers’ liability insurance for the Company’s directors and officers; and to cooperate on tax matters, including actions intended to preserve the qualification of the Merger as a “reorganization” within the meaning of Section 368(a) of the Code, the qualification of the Surviving Company as a RIC, and the Company’s REIT qualification through the Merger Effective Time. Prior to the BDC Election Time, the Company is required to declare and pay one or more Tax Dividends in amounts sufficient to (i) eliminate the Company’s accumulated earnings and profits for U.S. federal income tax purposes and (ii) reduce its REIT taxable income and net capital gain to zero for its final REIT taxable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Solicitation; Fiduciary Out.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Merger Agreement contains mutual non-solicitation provisions that restrict the ability of the Company and Acquiror, and their respective representatives, to, among other things, solicit, encourage, facilitate, or engage in discussions or negotiations regarding alternative acquisition proposals (each, a “</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or furnish non-public information in connection with Takeover Proposals, in each case, subject to the exceptions described below.</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Each of the Company and Acquiror may engage in discussions or negotiations with, and provide non-public information to, a third party that has made a bona fide unsolicited Takeover Proposal if the applicable special committee determines in good faith, after consultation with its outside legal counsel and financial advisor, that (i) failure to consider such Takeover Proposal would be reasonably likely to be a breach of the directors’ fiduciary duties under applicable law, and (ii) such Takeover Proposal constitutes or is reasonably likely to result in a Company Superior Proposal (as defined in the Merger Agreement) or an Acquiror Superior Proposal (as defined in the Merger Agreement), as applicable, subject in each case to notice and other procedural requirements set forth in the Merger Agreement.</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Subject to compliance with notice, matching-rights and good-faith negotiation requirements set forth in the Merger Agreement (including a two-calendar-day matching-rights period, which restarts upon any amendment to the financial or other material terms of a superior proposal), the Company Board or the Acquiror Board (as defined in the Merger Agreement), as applicable, may effect an adverse recommendation change in response to a Company Superior Proposal or an Acquiror Superior Proposal. Each board may also effect an adverse recommendation change in response to an Intervening Event (as defined in the Merger Agreement), subject to a five-business-day notice and good-faith negotiation period. The Company and Acquiror may each terminate the Merger Agreement to enter into a definitive agreement with respect to a superior proposal.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Consummation of the Merger is subject to the satisfaction or waiver of a number of closing conditions, including: (i) receipt of the Acquiror Requisite Vote, the Company Requisite Vote and the Post-BDC Election Approvals; (ii) Nasdaq listing authorization for the shares of Acquiror Common Stock issuable as Merger Consideration; (iii) effectiveness of the Registration Statement; (iv) the absence of any order or law prohibiting the Merger and the absence of any pending governmental proceeding seeking to enjoin the Merger; (v) receipt of all required regulatory approvals; (vi) completion of the Closing Acquiror Net Asset Value and Closing Company Net Asset Value determinations; (vii) filing of the BDC Election with the SEC; (viii) satisfaction of specified conditions relating to the parties’ existing credit facilities and the Company Notes (as defined in the Merger Agreement); (ix) the Support Agreements remaining in full force and effect; and (x) customary bring-down conditions with respect to the accuracy of the other party’s (and its Adviser’s) representations and warranties, performance of covenants, the absence of a Material Adverse Effect (as defined in the Merger Agreement), and receipt of a tax opinion that the Merger will qualify as a “reorganization” within the meaning of Section 368(a) of the Code, with Acquiror’s obligation further conditioned on delivery by the Company of a FIRPTA certificate.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color w:val="auto"/>
        </w:rPr>
        <w:t>Termination and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Merger Effective Time by mutual written consent.</w:t>
      </w:r>
    </w:p>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Either party may terminate the Merger Agreement if: (i) any governmental entity denies a required regulatory approval in a final and non-appealable decision, or issues a final order prohibiting the Merger; (ii) the Merger has not been consummated by June 30, 2027; (iii) the Acquiror stockholders fail to approve the matters submitted for their approval; or (iv) the Company Board fails to approve the Post-BDC Election Approvals or the Company stockholders fail to approve the Company BDC Election Matters or Company Merger Matters; provided that the terminating party has not materially breached its obligations in a manner causing the failure, in each case subject to customary limitations on a party’s right to terminate where its breach has caused the failure.</w:t>
      </w:r>
    </w:p>
    <w:p>
      <w:pPr>
        <w:spacing w:after="0" w:line="16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The Company may terminate the Merger Agreement upon: (i) a breach by Acquiror of its representations, warranties, or covenants that would result in the failure of specified closing conditions, subject to a 30-day cure period; (ii) the occurrence of specified events relating to Acquiror’s recommendation or non-solicitation obligations; or (iii) the Company Board’s authorization, on the recommendation of the Company Special Committee, to enter into a definitive agreement with respect to a Company Superior Proposal.</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Acquiror may terminate the Merger Agreement upon: (i) a breach by the Company of its representations, warranties, or covenants that would result in the failure of specified closing conditions, subject to a 30-day cure period; (ii) the occurrence of specified events relating to the Company’s recommendation or non-solicitation obligations; or (iii) the Acquiror Board’s authorization to enter into a definitive agreement with respect to an Acquiror Superior Proposal.</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Except with respect to costs and expenses of printing and mailing the Registration Statement and all filing and other fees paid to the SEC in connection with the Merger, all fees and expenses incurred in connection with the BDC Election, Merger, and the Transactions shall be borne as follows: (i) one-half (1/2) of such fees shall be borne by the Acquiror and (ii) the remaining one-half (1/2) of such fees shall be borne by the Company, provided, however, that the Company Manager shall pay $2,000,000 of the fees and expenses for which the Company is responsible on behalf of the Company. 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Merger Agreement provides that, from the date of the Merger Agreement until the Merger Effective Time, the Acquiror Board will consider in good faith the adoption of a share repurchase program of up to $25 million to be implemented following the closing, on such terms and subject to such conditions as the Acquiror Board may determine to be advisable, taking into account then current market conditions and other matters the Acquiror Board determines to be relevant.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Specific Performance.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parties have agreed that irreparable damage would occur in the event of a breach of the Merger Agreement and that monetary damages would not be an adequate remedy. Accordingly, the parties are entitled to injunctive relief and specific performance to enforce the terms of the Merger Agreement in any federal or state court located in the State of Maryland, without proof of actual damages and without the requirement of posting a bond.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Concurrently with the execution of the Merger Agreement, (i) each of Acquiror Adviser, John Mazarakis, Scott Gordon, and Anthony Cappell, in his or its capacity as a stockholder of Acquiror, and (ii) each of John Mazarakis, Anthony Cappell, David Kite, Peter Sack, and Phil Silverman, in his capacity as a stockholder of the Company, entered into a support agreement with the Company and Acquiror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each agreed to vote his or its shares of Acquiror Common Stock and Company Common Stock in favor of the Acquiror Matters and the Company BDC Election Matters and Company Merger Matters, as applicable. The Support Agreements cover approximately 4.8% of the outstanding Company Common Stock and approximately 12.9% of the outstanding Acquiror Common Stock. The closing of the Merger is subject to the condition that the Support Agreements remain in full force and effect.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Director and Officer Consent and Limited Waiver</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Concurrently with the execution of the Merger Agreement, each of the Company’s directors and executive officers executed a Consent and Limited Waiver (the “Consent and Waiver”). Pursuant to the Consent and Waiver, effective immediately prior to the BDC Election, each director and executive officer of the Company waives any right to indemnification, exculpation, or expense reimbursement under the Company’s charter, bylaws, or indemnification agreements solely to the extent prohibited by Section 17(h) of the Investment Company Act. All other indemnification, exculpation, and expense reimbursement rights of the Company’s directors and executive officers remain in full force and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description is qualified in its entirety by reference to the form of Consent and Waiver, filed as Exhibit 10.3 hereto and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Material Terms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Following the Merger Effective Time, Acquiror will indemnify and hold harmless present and former directors and officers of the Company against costs and liabilities incurred in connection with proceedings arising out of actions or omissions occurring at or prior to the Merger Effective Time. The Company or the Surviving Company will obtain a seven-year “tail” directors’ and officers’ insurance policy with coverage not less than the Company’s existing policy, subject to a customary cost cap.</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Surviving Company’s articles of incorporation and bylaws will be the articles of incorporation and bylaws of Acquiror in effect immediately prior to the Merger Effective Time. The Surviving Company’s board of directors as of the Merger Effective Time will include three independent directors continuing from the Company’s existing board and two independent directors continuing from Acquiror’s existing board, in addition to such other directors as may be designated in accordance with the Merger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Merger Agreement is governed by the laws of the State of Maryland.</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Merger Agreement is not complete and is qualified in its entirety by reference to the full text of the Merger Agreement, a copy of which is filed as Exhibit 2.1 to this Current Report on Form 8-K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June 18, 2026, the Company and Acquiror issued a joint press release announcing the execution of the Merger Agreement. A copy of the joint press release is furnished as Exhibit 99.1 to this Current Report on Form 8-K and is incorporated herein by reference.</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On June 18, 2026, the Company and Acquiror will host a joint investor conference call at 9:00 a.m. Eastern Time to discuss the Merger. In connection with the conference call, the Company and Acquiror have prepared an investor presentation, a copy of which is furnished as Exhibit 99.2 to this Current Report on Form 8-K and is incorporated herein by reference. The investor presentation will also be made available on the investor relations sections of the Company’s and Acquiror’s respective websites.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conference call details are as follows:</w:t>
      </w:r>
    </w:p>
    <w:p>
      <w:pPr>
        <w:spacing w:after="0" w:line="196"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When: </w:t>
      </w:r>
      <w:r>
        <w:rPr>
          <w:rFonts w:ascii="Times New Roman" w:cs="Times New Roman" w:eastAsia="Times New Roman" w:hAnsi="Times New Roman"/>
          <w:sz w:val="16"/>
          <w:szCs w:val="16"/>
          <w:color w:val="auto"/>
        </w:rPr>
        <w:t>Thursday, June 18,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Time: </w:t>
      </w:r>
      <w:r>
        <w:rPr>
          <w:rFonts w:ascii="Times New Roman" w:cs="Times New Roman" w:eastAsia="Times New Roman" w:hAnsi="Times New Roman"/>
          <w:sz w:val="16"/>
          <w:szCs w:val="16"/>
          <w:color w:val="auto"/>
        </w:rPr>
        <w:t>9:00 a.m. Eastern Time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rPr>
        <w:t>877-317-6789 (domestic) and 412-317-6789 (international)</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Webcast Live Stream: </w:t>
      </w:r>
      <w:r>
        <w:rPr>
          <w:rFonts w:ascii="Times New Roman" w:cs="Times New Roman" w:eastAsia="Times New Roman" w:hAnsi="Times New Roman"/>
          <w:sz w:val="16"/>
          <w:szCs w:val="16"/>
          <w:color w:val="auto"/>
        </w:rPr>
        <w:t>https://event.choruscall.com/mediaframe/webcast.html?webcastid=cm4KYEzO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replay of the conference call will be available on the investor relations sections of the Company’s and Acquiror’s respective websites following the conclusion of the call.</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Exhibits 99.1 and 99.2) shall not be deemed to be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the Exchange Act, except as expressly set forth by specific reference in such filing.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The following exhibits are being filed herewith:</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Agreement and Plan of Merger, dated as of June 17, 2026, by and among Chicago Atlantic Real Estate Finance, Inc., Chicago Atlantic BDC, Inc., Chicago</w:t>
            </w:r>
          </w:p>
        </w:tc>
      </w:tr>
      <w:tr>
        <w:trPr>
          <w:trHeight w:val="171"/>
        </w:trPr>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Atlantic BDC Advisers, LLC, and Chicago Atlantic REIT Manager,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Support Agreement (Company Stockholders), dated as of June 17, 2026, by and among Chicago Atlantic Real Estate Finance, Inc., Chicago Atlantic</w:t>
            </w:r>
          </w:p>
        </w:tc>
      </w:tr>
      <w:tr>
        <w:trPr>
          <w:trHeight w:val="171"/>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EE"/>
            </w:tcBorders>
            <w:gridSpan w:val="7"/>
          </w:tcPr>
          <w:p>
            <w:pPr>
              <w:spacing w:after="0" w:line="171" w:lineRule="exact"/>
              <w:rPr>
                <w:sz w:val="20"/>
                <w:szCs w:val="20"/>
                <w:color w:val="auto"/>
              </w:rPr>
            </w:pPr>
            <w:r>
              <w:rPr>
                <w:rFonts w:ascii="Times New Roman" w:cs="Times New Roman" w:eastAsia="Times New Roman" w:hAnsi="Times New Roman"/>
                <w:sz w:val="16"/>
                <w:szCs w:val="16"/>
                <w:color w:val="0000EE"/>
              </w:rPr>
              <w:t>BDC, Inc., and the stockholders party thereto</w:t>
            </w:r>
          </w:p>
        </w:tc>
        <w:tc>
          <w:tcPr>
            <w:tcW w:w="20" w:type="dxa"/>
            <w:vAlign w:val="bottom"/>
          </w:tcPr>
          <w:p>
            <w:pPr>
              <w:spacing w:after="0"/>
              <w:rPr>
                <w:sz w:val="14"/>
                <w:szCs w:val="14"/>
                <w:color w:val="auto"/>
              </w:rPr>
            </w:pP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Support Agreement (Acquiror Stockholders), dated as of June 17, 2026, by and among Chicago Atlantic Real Estate Finance, Inc., Chicago Atlantic</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BDC, Inc., and the Acquiror stockholders party thereto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Consent and Limited Waiver, dated as of June 17, 2026, executed by each director and executive officer of Chicago Atlantic Real Estate Finance, Inc</w:t>
            </w:r>
            <w:r>
              <w:rPr>
                <w:rFonts w:ascii="Times New Roman" w:cs="Times New Roman" w:eastAsia="Times New Roman" w:hAnsi="Times New Roman"/>
                <w:sz w:val="16"/>
                <w:szCs w:val="16"/>
                <w:b w:val="1"/>
                <w:bCs w:val="1"/>
                <w:color w:val="0000EE"/>
                <w:w w:val="99"/>
              </w:rPr>
              <w: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54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Joint Press Release, dated June 18, 2026.</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rPr>
              <w:t>Investor Presentation, dated June 18, 2026</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right w:val="single" w:sz="8" w:color="CCEEFF"/>
            </w:tcBorders>
            <w:shd w:val="clear" w:color="auto" w:fill="CCEEFF"/>
          </w:tcPr>
          <w:p>
            <w:pPr>
              <w:spacing w:after="0"/>
              <w:rPr>
                <w:sz w:val="17"/>
                <w:szCs w:val="17"/>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75" w:lineRule="exact"/>
        <w:rPr>
          <w:sz w:val="20"/>
          <w:szCs w:val="20"/>
          <w:color w:val="auto"/>
        </w:rPr>
      </w:pPr>
    </w:p>
    <w:p>
      <w:pPr>
        <w:ind w:left="284" w:right="20" w:hanging="284"/>
        <w:spacing w:after="0" w:line="280" w:lineRule="auto"/>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Company hereby agrees to furnish supplementally a copy of any omitted schedule or exhibit to the SEC upon request.</w:t>
      </w:r>
    </w:p>
    <w:p>
      <w:pPr>
        <w:spacing w:after="0" w:line="144"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6"/>
          <w:szCs w:val="16"/>
          <w:color w:val="auto"/>
        </w:rPr>
        <w:t>**</w:t>
        <w:tab/>
        <w:t>Furnished, not filed.</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16"/>
          <w:szCs w:val="16"/>
          <w:color w:val="auto"/>
        </w:rPr>
        <w:t>Some of the statements in this Current Report on Form 8-K constitute forward-looking statements because they relate to future events, future performance or financial condition of Acquiror, the Company or the Merger. These statements are made pursuant to the safe harbor provisions of the Private Securities Litigation Reform Act of 1995, to the extent applicable. Forward-looking statements may include statements as to: future operating results of the Surviving Company and distribution projections; business prospects of the Surviving Company and, to the extent applicable, the prospects of its portfolio companies; and the impact of the investments that the Surviving Company expects to make. In addition, words such as “may,” “might,” “will,” “intend,” “should,” “could,” “can,” “would,” “expect,” “believe,” “estimate,” “anticipate,” “predict,” “potential,” “plan” or similar words indicate forward-looking statements. The forward-looking statements contained in this Current Report on Form 8-K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Acquiror and the Company may be more difficult, time-consuming or costly than expected, and the risk of unanticipated transaction costs, loss of key personnel, or adverse effects on existing business relationships; (iii) the percentage of Acquiror and the Company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Acquiror Common Stock to be issued in the Merger, may not be obtained on the contemplated timeline or at all;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the Company may fail to maintain its qualification as a real estate investment trust through the effective time of the Merger; (xiii) the risk that the Company may be unable to complete the BDC Election on the contemplated timeline or at all; (xiv) the risk that the Exchange Ratio, which will be determined based on the closing net asset value of each of Acquiror and the Company calculated shortly prior to closing, may differ from current expectations or may not reflect changes in market conditions or portfolio values between signing and closing; (xv) the risk that the amount, timing or tax treatment of the Tax Dividends required to be paid by the Company prior to the BDC Election Time may differ from current expectations, or that the Company may lack sufficient liquidity to pay such dividends on the contemplated timeline; (xvi) the risk that the conversion of the Company from a REIT to a regulated investment company may give rise to corporate-level tax on built-in gains or other tax consequences that may differ from current expectations; (xvii) the risk that operating as a BDC under the Investment Company Act will subject the Surviving Company to regulatory limitations, including with respect to leverage and affiliate transactions, that may adversely affect operating results or investment strategy; (xviii) the risk that the share repurchase program of up to $25.0 million that the Acquiror Board of Directors has agreed to consider in good faith following the Closing may not be adopted, or, if adopted, may differ in size, scope, timing, or terms from current expectations; and (xix) other considerations that may be disclosed from time to time in publicly available documents filed by Acquiror and the Company with the SEC. Acquiror and the Company undertake no duty to update any forward-looking statements made herein.</w:t>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Current Report on Form 8-K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communication relates to the proposed Merger involving Acquiror and the Company, along with related proposals for which stockholder approval will be sought. The Merger Agreement was unanimously approved by the Boards of Directors of both Acquiror and the Company, each acting on the unanimous recommendation of its respective Special Committee comprised solely of independent directors. In connection with the proposals, Acquiror intends to file relevant materials with the SEC, including a registration statement on Form N-14, which will include a joint proxy statement of Acquiror and the Company and a prospectus of Acquiror (the “</w:t>
      </w:r>
      <w:r>
        <w:rPr>
          <w:rFonts w:ascii="Times New Roman" w:cs="Times New Roman" w:eastAsia="Times New Roman" w:hAnsi="Times New Roman"/>
          <w:sz w:val="16"/>
          <w:szCs w:val="16"/>
          <w:u w:val="single" w:color="auto"/>
          <w:color w:val="auto"/>
        </w:rPr>
        <w:t>Proxy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Statement/Prospectus</w:t>
      </w:r>
      <w:r>
        <w:rPr>
          <w:rFonts w:ascii="Times New Roman" w:cs="Times New Roman" w:eastAsia="Times New Roman" w:hAnsi="Times New Roman"/>
          <w:sz w:val="16"/>
          <w:szCs w:val="16"/>
          <w:color w:val="auto"/>
        </w:rPr>
        <w:t>”).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ACQUIROR AND THE COMPANY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ACQUIROR, THE COMPANY, THE MERGER AND THE PROPOSALS. Investors and security holders will be able to obtain the documents filed with the SEC free of charge at the SEC’s website, www.sec.gov, or from each company’s investor relations website at www.investors.chicagoatlanticbdc.com (Acquiror) and www.investors.refi.reit (the Company), or by directing a request to LIEN@chicagoatlantic.com (Acquiror) or IR@REFI.reit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Acquiror, the Company and their respective directors and executive officers, the Acquiror Adviser and the Company Manager, and their respective directors, officers, members, managers, partners, employees and affiliates, and other persons may be deemed to be participants in the solicitation of proxies from the stockholders of Acquiror and the Company in connection with the Merger and the related proposals. Information regarding the persons who may, under the rules of the SEC, be deemed participants in the solicitation of the stockholders of Acquiror and the Company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Acquiror and the Company’s securities by their respective directors and executive officers is included in such persons’ SEC filings on Forms 3, 4 and 5, which can be found through the SEC’s website at www.sec.gov. Information about the directors and executive officers of Acquiror is also set forth in Acquiror’s proxy statement for its 2026 annual meeting of stockholders, filed with the SEC on April 30, 2026, and in Acquiror’s Annual Report on Form 10-K for the fiscal year ended December 31, 2025, filed with the SEC on March 19, 2026. Information about the directors and executive officers of the Company is also set forth in the Company’s proxy statement for its 2026 annual meeting of stockholders, filed with the SEC on April 23, 2026, and in the Company’s Annual Report on Form 10-K for the fiscal year ended December 31, 2025, filed with the SEC on March 12, 2026. Each of these documents is available free of charge at the SEC’s website, www.sec.gov, or from Acquiror’s or the Company’s investor relations website, as applicable.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Phil Silverman</w:t>
            </w:r>
          </w:p>
        </w:tc>
      </w:tr>
      <w:tr>
        <w:trPr>
          <w:trHeight w:val="208"/>
        </w:trPr>
        <w:tc>
          <w:tcPr>
            <w:tcW w:w="7100" w:type="dxa"/>
            <w:vAlign w:val="bottom"/>
          </w:tcPr>
          <w:p>
            <w:pPr>
              <w:jc w:val="right"/>
              <w:ind w:right="5760"/>
              <w:spacing w:after="0"/>
              <w:rPr>
                <w:sz w:val="20"/>
                <w:szCs w:val="20"/>
                <w:color w:val="auto"/>
              </w:rPr>
            </w:pPr>
            <w:r>
              <w:rPr>
                <w:rFonts w:ascii="Times New Roman" w:cs="Times New Roman" w:eastAsia="Times New Roman" w:hAnsi="Times New Roman"/>
                <w:sz w:val="16"/>
                <w:szCs w:val="16"/>
                <w:color w:val="auto"/>
                <w:w w:val="96"/>
              </w:rPr>
              <w:t>Date: June 18, 2026</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Phil Silverman, Chief Financial Officer</w:t>
            </w:r>
          </w:p>
        </w:tc>
      </w:tr>
      <w:tr>
        <w:trPr>
          <w:trHeight w:val="561"/>
        </w:trPr>
        <w:tc>
          <w:tcPr>
            <w:tcW w:w="71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6"/>
                <w:szCs w:val="16"/>
                <w:color w:val="auto"/>
              </w:rPr>
              <w:t>8</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ADVISERS,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REIT MANAGER,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Dated as of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409575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9740" w:type="dxa"/>
            <w:vAlign w:val="bottom"/>
          </w:tcPr>
          <w:p>
            <w:pPr>
              <w:ind w:left="4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r>
      <w:tr>
        <w:trPr>
          <w:trHeight w:val="422"/>
        </w:trPr>
        <w:tc>
          <w:tcPr>
            <w:tcW w:w="620" w:type="dxa"/>
            <w:vAlign w:val="bottom"/>
            <w:tcBorders>
              <w:bottom w:val="single" w:sz="8" w:color="CCEEFF"/>
            </w:tcBorders>
          </w:tcPr>
          <w:p>
            <w:pPr>
              <w:spacing w:after="0"/>
              <w:rPr>
                <w:sz w:val="24"/>
                <w:szCs w:val="24"/>
                <w:color w:val="auto"/>
              </w:rPr>
            </w:pPr>
          </w:p>
        </w:tc>
        <w:tc>
          <w:tcPr>
            <w:tcW w:w="97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THE BDC ELECTION AND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BDC Election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Closing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Merger Effective Time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Effects of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Conversion of Capital Stock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Certain Contractual Obligations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Articles of Incorporation and Bylaws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Directors and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Delivery of Evidence of Acquiror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Fractional Shares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Paying and Exchange Agent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Delivery of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 Further Ownership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Asset Value Calculation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Exchange Fund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 Rights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Consequences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III REPRESENTATIONS AND WARRANTIES OF THE COMPANY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08"/>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10"/>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Appraisal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IV REPRESENTATIONS AND WARRANTIES OF THE ACQUIROR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THE ADVISERS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Organization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Adviser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Financial Resources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Acquiror or Company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VI COVENANTS RELATING TO CONDUCT OF BUSINESS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Conduct of Businesses Prior to the Merger Effective Time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Forbearances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ADDITIONAL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Reasonable Best Efforts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Regulatory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Approval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NASDAQ Listing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Solicitation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Takeover Proposals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Company Takeover Proposals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7.9</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Access to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7.10</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Publicity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Takeover Statutes and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Section 16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Coordination of Dividends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Repurchase Program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CONDITIONS PRECEDENT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Each Party’s Obligations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Acquiror to Effect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the Company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Frustration of Closing Conditions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IX TERMINATION AND AMENDMENT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Fees and Expenses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Extension;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CERTAIN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 GENERAL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Nonsurvival of Representations, Warranties and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Interpretation; 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Counterparts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Entire Agreement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Governing Law; Jurisdiction; Waiver of Jury Trial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Assignment; Third Party Beneficiaries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Specific Performance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Disclosure Schedule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AGREEMENT AND PLAN OF MERGER, dated as of June 17, 2026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BDC Advisers, LLC, a Delaware limited liability company and the investment adviser to the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xml:space="preserve">”); and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REIT Manager, LLC, a Delaware limited liability company, in its capacity as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 The Acquiror has previously elected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as defined in Section 2(a)(48) of the Investment Company Act of 1940, as amended, and the rules promulgated thereunder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and has previously elected to be taxed as a regulated investment company within the meaning, and under the provisions, of Sections 851 through 855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 The Company has previously elected to be taxed as a real estate investment trust within the meaning, and under the provisions, of Sections 856 through 860 of the Code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and, subject to the terms and conditions of this Agreement, the Company will elect to be regulated as a BDC under the Investment Company Act by filing a Form N-54A with the SEC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will adopt, subject to the approval of the Company’s stockholders, a new Investment Company Act compliant investment advisory agreement by and between the Company and the Acquiror Adviser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C. Upon the terms and subject to the conditions set forth in this Agreement, following the BDC Election, Acquiror and the Company intend to merge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as the surviving company in the Merger (sometimes referred to in such capacity as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D. The Board of Directors of Acquiror (the “</w:t>
      </w:r>
      <w:r>
        <w:rPr>
          <w:rFonts w:ascii="Times New Roman" w:cs="Times New Roman" w:eastAsia="Times New Roman" w:hAnsi="Times New Roman"/>
          <w:sz w:val="16"/>
          <w:szCs w:val="16"/>
          <w:u w:val="single" w:color="auto"/>
          <w:color w:val="auto"/>
        </w:rPr>
        <w:t>Acquiror Board</w:t>
      </w:r>
      <w:r>
        <w:rPr>
          <w:rFonts w:ascii="Times New Roman" w:cs="Times New Roman" w:eastAsia="Times New Roman" w:hAnsi="Times New Roman"/>
          <w:sz w:val="16"/>
          <w:szCs w:val="16"/>
          <w:color w:val="auto"/>
        </w:rPr>
        <w:t>”), upon the recommendation of a committee of the Acquiror Board comprised solely of the Independent Directors of Acquiror (the “</w:t>
      </w:r>
      <w:r>
        <w:rPr>
          <w:rFonts w:ascii="Times New Roman" w:cs="Times New Roman" w:eastAsia="Times New Roman" w:hAnsi="Times New Roman"/>
          <w:sz w:val="16"/>
          <w:szCs w:val="16"/>
          <w:u w:val="single" w:color="auto"/>
          <w:color w:val="auto"/>
        </w:rPr>
        <w:t>Acquiror Special Committee</w:t>
      </w:r>
      <w:r>
        <w:rPr>
          <w:rFonts w:ascii="Times New Roman" w:cs="Times New Roman" w:eastAsia="Times New Roman" w:hAnsi="Times New Roman"/>
          <w:sz w:val="16"/>
          <w:szCs w:val="16"/>
          <w:color w:val="auto"/>
        </w:rPr>
        <w:t>”),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5" w:name="page16"/>
    <w:bookmarkEnd w:id="15"/>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E.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on the recommendation of a committee of the Company Board comprised solely of the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be submitted to the Company’s stockholders at a duly noticed and convened meeting of the Company’s stockholders (the “</w:t>
      </w:r>
      <w:r>
        <w:rPr>
          <w:rFonts w:ascii="Times New Roman" w:cs="Times New Roman" w:eastAsia="Times New Roman" w:hAnsi="Times New Roman"/>
          <w:sz w:val="16"/>
          <w:szCs w:val="16"/>
          <w:u w:val="single" w:color="auto"/>
          <w:color w:val="auto"/>
        </w:rPr>
        <w:t>Company Stockholders Meeting</w:t>
      </w:r>
      <w:r>
        <w:rPr>
          <w:rFonts w:ascii="Times New Roman" w:cs="Times New Roman" w:eastAsia="Times New Roman" w:hAnsi="Times New Roman"/>
          <w:sz w:val="16"/>
          <w:szCs w:val="16"/>
          <w:color w:val="auto"/>
        </w:rPr>
        <w:t>”); (iv) directed that this Agreement and the matters associated with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the Company Stockholders Meeting; and (v) resolved to recommend that the stockholders of the Company adopt the Company BDC Election Matters and the Company Merger Matters at the Company Stockholders Meeting.</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 The parties intend the Merger to be treated as a “reorganization” within the meaning of Section 368(a)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Treasury Regulations promulgated thereunder, and intend for this Agreement to constitute a “plan of reorganization” within the meaning of the Code.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G. Following the Merger Effective Time, the Surviving Company intends to continue to qualify as a regulated investment company under Sections 851 and 852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H.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it/he is agreeing to vote its/his shares of Acquiror Common Stock and Company Common Stock in favor of the Acquiror Matters and Company BDC Election Matters and the Company Merger Matters.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center"/>
        <w:ind w:right="-319"/>
        <w:spacing w:after="0"/>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other agreements contained in this Agreement, the 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BDC ELECTION AND THE MERGER</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The BDC Election</w:t>
      </w:r>
      <w:r>
        <w:rPr>
          <w:rFonts w:ascii="Times New Roman" w:cs="Times New Roman" w:eastAsia="Times New Roman" w:hAnsi="Times New Roman"/>
          <w:sz w:val="16"/>
          <w:szCs w:val="16"/>
          <w:color w:val="auto"/>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shall be the date and time when the BDC Election has been accepted for filing by the SEC.</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Subject to the terms and conditions of this Agreement, in accordance with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On the terms and subject to the conditions set forth in this Agreement,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The Merger shall become effective as set forth in the articles of merger (the “</w:t>
      </w:r>
      <w:r>
        <w:rPr>
          <w:rFonts w:ascii="Times New Roman" w:cs="Times New Roman" w:eastAsia="Times New Roman" w:hAnsi="Times New Roman"/>
          <w:sz w:val="15"/>
          <w:szCs w:val="15"/>
          <w:u w:val="single" w:color="auto"/>
          <w:color w:val="auto"/>
        </w:rPr>
        <w:t>Articles of Merger</w:t>
      </w:r>
      <w:r>
        <w:rPr>
          <w:rFonts w:ascii="Times New Roman" w:cs="Times New Roman" w:eastAsia="Times New Roman" w:hAnsi="Times New Roman"/>
          <w:sz w:val="15"/>
          <w:szCs w:val="15"/>
          <w:color w:val="auto"/>
        </w:rPr>
        <w:t>”) that the Acquiror shall file with the State Department of Assessments and Taxation for the State of Maryland (“</w:t>
      </w:r>
      <w:r>
        <w:rPr>
          <w:rFonts w:ascii="Times New Roman" w:cs="Times New Roman" w:eastAsia="Times New Roman" w:hAnsi="Times New Roman"/>
          <w:sz w:val="15"/>
          <w:szCs w:val="15"/>
          <w:u w:val="single" w:color="auto"/>
          <w:color w:val="auto"/>
        </w:rPr>
        <w:t>SDAT</w:t>
      </w:r>
      <w:r>
        <w:rPr>
          <w:rFonts w:ascii="Times New Roman" w:cs="Times New Roman" w:eastAsia="Times New Roman" w:hAnsi="Times New Roman"/>
          <w:sz w:val="15"/>
          <w:szCs w:val="15"/>
          <w:color w:val="auto"/>
        </w:rPr>
        <w:t>”) on the Closing Date. The term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shall be the date and time when the Merger becomes effective as set forth in the Articles of Merger. For the avoidance of doubt, in no event shall the Merger Effective Time be earlier than the BDC Election Time.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At and after the Merger Effective Time, the Merger shall have the effects set forth in the MGCL.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Conversion of Capital Stock</w:t>
      </w:r>
      <w:r>
        <w:rPr>
          <w:rFonts w:ascii="Times New Roman" w:cs="Times New Roman" w:eastAsia="Times New Roman" w:hAnsi="Times New Roman"/>
          <w:sz w:val="16"/>
          <w:szCs w:val="16"/>
          <w:color w:val="auto"/>
        </w:rPr>
        <w:t>. At the Merger Effective Time, by virtue of the Merger and without any action on the part of Acquiror or the Company or the holder of any of the following securities:</w:t>
      </w:r>
    </w:p>
    <w:p>
      <w:pPr>
        <w:spacing w:after="0" w:line="144" w:lineRule="exact"/>
        <w:rPr>
          <w:sz w:val="20"/>
          <w:szCs w:val="20"/>
          <w:color w:val="auto"/>
        </w:rPr>
      </w:pPr>
    </w:p>
    <w:p>
      <w:pPr>
        <w:jc w:val="both"/>
        <w:ind w:left="560" w:right="20" w:firstLine="583"/>
        <w:spacing w:after="0" w:line="259" w:lineRule="auto"/>
        <w:tabs>
          <w:tab w:leader="none" w:pos="13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or any other consideration shall be delivered in exchange therefor (such shares, the “</w:t>
      </w:r>
      <w:r>
        <w:rPr>
          <w:rFonts w:ascii="Times New Roman" w:cs="Times New Roman" w:eastAsia="Times New Roman" w:hAnsi="Times New Roman"/>
          <w:sz w:val="16"/>
          <w:szCs w:val="16"/>
          <w:u w:val="single" w:color="auto"/>
          <w:color w:val="auto"/>
        </w:rPr>
        <w:t>Cancelled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1‎.6(d),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 w:cs="Times New Roman" w:eastAsia="Times New Roman" w:hAnsi="Times New Roman"/>
          <w:sz w:val="16"/>
          <w:szCs w:val="16"/>
          <w:u w:val="single" w:color="auto"/>
          <w:color w:val="auto"/>
        </w:rPr>
        <w:t>Section 1.6(e)</w:t>
      </w:r>
      <w:r>
        <w:rPr>
          <w:rFonts w:ascii="Times New Roman" w:cs="Times New Roman" w:eastAsia="Times New Roman" w:hAnsi="Times New Roman"/>
          <w:sz w:val="16"/>
          <w:szCs w:val="16"/>
          <w:color w:val="auto"/>
        </w:rPr>
        <w:t xml:space="preserve">, shall be converted, in accordance with the procedures set forth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into the right to receive a number of shares of Acquiror Common Stock equal to the Exchange Ratio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shares of Company Common Stock converted into the right to receive the Merger Consideration pursuant to this Article‎ I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Consideration, cash in lieu of fractional shares into which such shares of Company Common Stock have been converted pursuant to Section 2‎.2 and any dividends or other distributions payable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7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Section 1‎.6(d) shall be construed to permit any party hereto to take any action that is otherwise prohibited or restricted by any other provision of this Agreement.</w:t>
      </w:r>
    </w:p>
    <w:p>
      <w:pPr>
        <w:spacing w:after="0" w:line="166"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137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-2580005</wp:posOffset>
            </wp:positionV>
            <wp:extent cx="5727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6010910</wp:posOffset>
            </wp:positionH>
            <wp:positionV relativeFrom="paragraph">
              <wp:posOffset>-1972945</wp:posOffset>
            </wp:positionV>
            <wp:extent cx="3473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 cy="7620"/>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-1608455</wp:posOffset>
            </wp:positionV>
            <wp:extent cx="4546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66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-758825</wp:posOffset>
            </wp:positionV>
            <wp:extent cx="5803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left="560" w:firstLine="583"/>
        <w:spacing w:after="0" w:line="280" w:lineRule="auto"/>
        <w:tabs>
          <w:tab w:leader="none" w:pos="135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Acquiror Common Stock outstanding immediately prior to the Merger Effective Time shall remain outstanding as a share of Acquiror Common Stock.</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Termination of Certain Contractual Obligations</w:t>
      </w:r>
      <w:r>
        <w:rPr>
          <w:rFonts w:ascii="Times New Roman" w:cs="Times New Roman" w:eastAsia="Times New Roman" w:hAnsi="Times New Roman"/>
          <w:sz w:val="16"/>
          <w:szCs w:val="16"/>
          <w:color w:val="auto"/>
        </w:rPr>
        <w:t>.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Articles of Incorporation and Bylaws</w:t>
      </w:r>
      <w:r>
        <w:rPr>
          <w:rFonts w:ascii="Times New Roman" w:cs="Times New Roman" w:eastAsia="Times New Roman" w:hAnsi="Times New Roman"/>
          <w:sz w:val="16"/>
          <w:szCs w:val="16"/>
          <w:color w:val="auto"/>
        </w:rPr>
        <w:t>.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Subject to applicable Law, the directors and officers of the Surviving Company as of the Merger Effective Time shall be the directors and officers set forth on </w:t>
      </w:r>
      <w:r>
        <w:rPr>
          <w:rFonts w:ascii="Times New Roman" w:cs="Times New Roman" w:eastAsia="Times New Roman" w:hAnsi="Times New Roman"/>
          <w:sz w:val="16"/>
          <w:szCs w:val="16"/>
          <w:u w:val="single" w:color="auto"/>
          <w:color w:val="auto"/>
        </w:rPr>
        <w:t>Schedule 1.9,</w:t>
      </w:r>
      <w:r>
        <w:rPr>
          <w:rFonts w:ascii="Times New Roman" w:cs="Times New Roman" w:eastAsia="Times New Roman" w:hAnsi="Times New Roman"/>
          <w:sz w:val="16"/>
          <w:szCs w:val="16"/>
          <w:color w:val="auto"/>
        </w:rPr>
        <w:t xml:space="preserve"> each of which shall hold office until their respective successors are duly elected and qualify, or their earlier death, resignation or removal.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MERGER CONSIDERATION</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Delivery of Evidence of Acquiror Common Stock</w:t>
      </w:r>
      <w:r>
        <w:rPr>
          <w:rFonts w:ascii="Times New Roman" w:cs="Times New Roman" w:eastAsia="Times New Roman" w:hAnsi="Times New Roman"/>
          <w:sz w:val="16"/>
          <w:szCs w:val="16"/>
          <w:color w:val="auto"/>
        </w:rPr>
        <w:t>. As soon as reasonably practicable after the Merger Effective Time, Acquiror shall issue and deposit with its transfer agent evidence of book-entry shares representing Acquiror Common Stock issuable as Merger Consideration pursuant to Section 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-41275</wp:posOffset>
            </wp:positionV>
            <wp:extent cx="5727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Each holder of Company Common Stock converted pursuant to the Merger that would otherwise have been entitled to receive a fraction of a share of Acquiror Common Stock pursuant to Section 1‎.6(b)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all fractional shares to which a single record holder would be entitled shall be aggregated and calculations shall be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-513715</wp:posOffset>
            </wp:positionV>
            <wp:extent cx="5727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4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Prior to the Merger Effective Time, Acquiror shall appoint Acquiror’s transfer agent or other bank or trust company to act as exchange agent (the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Any cash deposited with the Paying and Exchange Agent shall hereinafter be referred to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Delivery of Merger Consideration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5" w:lineRule="auto"/>
        <w:tabs>
          <w:tab w:leader="none" w:pos="13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holder of record of shares of Company Common Stock (other than the Cancelled Shares) that were converted into the right to receive the Merger Consideration pursuant to Section 1‎.6(b)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any dividends and other distributions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after the applicable payment date, any dividends or other distributions to which such holder is entitled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The Exchange Fund shall not be used for any other purpose other than the purposes provided for in the immediately preceding sentence.</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-1483995</wp:posOffset>
            </wp:positionV>
            <wp:extent cx="5880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10"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No Further Ownership Rights</w:t>
      </w:r>
      <w:r>
        <w:rPr>
          <w:rFonts w:ascii="Times New Roman" w:cs="Times New Roman" w:eastAsia="Times New Roman" w:hAnsi="Times New Roman"/>
          <w:sz w:val="16"/>
          <w:szCs w:val="16"/>
          <w:color w:val="auto"/>
        </w:rPr>
        <w:t xml:space="preserve">. All Merger Consideration paid by Acquiror in accordance with the terms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Net Asset Value Calculation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560" w:right="20" w:firstLine="583"/>
        <w:spacing w:after="0" w:line="253" w:lineRule="auto"/>
        <w:tabs>
          <w:tab w:leader="none" w:pos="135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xml:space="preserv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Acquiror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Acquiror Board, including the Acquiror Special Committee, shall be required to approve, and the Acquiror Adviser shall certify in writing to the Company the calculation of the Closing Acquiror Net Asset Value.</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6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ensure the Closing Company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Company Board, including the Company Special Committee, shall be required to approve, and the Company Manager shall certify in writing to Acquiror, the calculation of the Closing Company Net Asset Value.</w:t>
      </w:r>
    </w:p>
    <w:p>
      <w:pPr>
        <w:spacing w:after="0" w:line="166"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Adviser agrees to give each of the Company and Acquiror and its respective Representatives, upon reasonable request, reasonable access to the individuals who have prepared each calculation provided pursuant to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 w:name="page22"/>
    <w:bookmarkEnd w:id="21"/>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w:t>
      </w:r>
    </w:p>
    <w:p>
      <w:pPr>
        <w:spacing w:after="0" w:line="167"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the Company hereby represents and warrants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9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Articles of Amendment and Restatement of the Company (the “</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and the Amended and Restated Bylaws of the Company (the “</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as in effect as of the date of this Agreement, have previously been publicly filed by the Company.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3" w:name="page24"/>
    <w:bookmarkEnd w:id="23"/>
    <w:p>
      <w:pPr>
        <w:ind w:left="56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6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100,000,000 shares of Company Common Stock, of which 21,314,392 were outstanding as of the close of business on June 11, 2026 (the “</w:t>
      </w:r>
      <w:r>
        <w:rPr>
          <w:rFonts w:ascii="Times New Roman" w:cs="Times New Roman" w:eastAsia="Times New Roman" w:hAnsi="Times New Roman"/>
          <w:sz w:val="16"/>
          <w:szCs w:val="16"/>
          <w:u w:val="single" w:color="auto"/>
          <w:color w:val="auto"/>
        </w:rPr>
        <w:t>Company Capitalization Date</w:t>
      </w:r>
      <w:r>
        <w:rPr>
          <w:rFonts w:ascii="Times New Roman" w:cs="Times New Roman" w:eastAsia="Times New Roman" w:hAnsi="Times New Roman"/>
          <w:sz w:val="16"/>
          <w:szCs w:val="16"/>
          <w:color w:val="auto"/>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16"/>
          <w:szCs w:val="16"/>
          <w:u w:val="single" w:color="auto"/>
          <w:color w:val="auto"/>
        </w:rPr>
        <w:t>Voting Debt</w:t>
      </w:r>
      <w:r>
        <w:rPr>
          <w:rFonts w:ascii="Times New Roman" w:cs="Times New Roman" w:eastAsia="Times New Roman" w:hAnsi="Times New Roman"/>
          <w:sz w:val="16"/>
          <w:szCs w:val="16"/>
          <w:color w:val="auto"/>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w:t>
      </w:r>
    </w:p>
    <w:p>
      <w:pPr>
        <w:spacing w:after="0" w:line="17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7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 w:name="page26"/>
    <w:bookmarkEnd w:id="25"/>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Governmental Consents</w:t>
      </w:r>
      <w:r>
        <w:rPr>
          <w:rFonts w:ascii="Times New Roman" w:cs="Times New Roman" w:eastAsia="Times New Roman" w:hAnsi="Times New Roman"/>
          <w:sz w:val="15"/>
          <w:szCs w:val="15"/>
          <w:color w:val="auto"/>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 w:cs="Times New Roman" w:eastAsia="Times New Roman" w:hAnsi="Times New Roman"/>
          <w:sz w:val="15"/>
          <w:szCs w:val="15"/>
          <w:u w:val="single" w:color="auto"/>
          <w:color w:val="auto"/>
        </w:rPr>
        <w:t>Joint Proxy Statement/Prospectus</w:t>
      </w:r>
      <w:r>
        <w:rPr>
          <w:rFonts w:ascii="Times New Roman" w:cs="Times New Roman" w:eastAsia="Times New Roman" w:hAnsi="Times New Roman"/>
          <w:sz w:val="15"/>
          <w:szCs w:val="15"/>
          <w:color w:val="auto"/>
        </w:rPr>
        <w:t>”) and of a registration statement on Form N-14 or such other appropriate SEC form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w:t>
      </w:r>
    </w:p>
    <w:p>
      <w:pPr>
        <w:spacing w:after="0" w:line="5" w:lineRule="exact"/>
        <w:rPr>
          <w:sz w:val="20"/>
          <w:szCs w:val="20"/>
          <w:color w:val="auto"/>
        </w:rPr>
      </w:pPr>
    </w:p>
    <w:p>
      <w:pPr>
        <w:ind w:left="4" w:right="20" w:hanging="4"/>
        <w:spacing w:after="0" w:line="258" w:lineRule="auto"/>
        <w:tabs>
          <w:tab w:leader="none" w:pos="27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consents, approvals, filings or registrations that the failure to obtain or make would not, individually or in the aggregate, reasonably be expected to have a Material Adverse Effect with respect to the Company.</w:t>
      </w:r>
    </w:p>
    <w:p>
      <w:pPr>
        <w:spacing w:after="0" w:line="16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1143"/>
        <w:spacing w:after="0" w:line="254" w:lineRule="auto"/>
        <w:tabs>
          <w:tab w:leader="none" w:pos="137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timely filed or furnished all forms, statements, certifications, reports and documents that it was required to file since January 1, 2024 (the “</w:t>
      </w:r>
      <w:r>
        <w:rPr>
          <w:rFonts w:ascii="Times New Roman" w:cs="Times New Roman" w:eastAsia="Times New Roman" w:hAnsi="Times New Roman"/>
          <w:sz w:val="16"/>
          <w:szCs w:val="16"/>
          <w:u w:val="single" w:color="auto"/>
          <w:color w:val="auto"/>
        </w:rPr>
        <w:t>Applicable Date</w:t>
      </w:r>
      <w:r>
        <w:rPr>
          <w:rFonts w:ascii="Times New Roman" w:cs="Times New Roman" w:eastAsia="Times New Roman" w:hAnsi="Times New Roman"/>
          <w:sz w:val="16"/>
          <w:szCs w:val="16"/>
          <w:color w:val="auto"/>
        </w:rPr>
        <w:t>”) with the SEC (such filings since the Applicable Date, the “</w:t>
      </w:r>
      <w:r>
        <w:rPr>
          <w:rFonts w:ascii="Times New Roman" w:cs="Times New Roman" w:eastAsia="Times New Roman" w:hAnsi="Times New Roman"/>
          <w:sz w:val="16"/>
          <w:szCs w:val="16"/>
          <w:u w:val="single" w:color="auto"/>
          <w:color w:val="auto"/>
        </w:rPr>
        <w:t>Company SEC Reports</w:t>
      </w:r>
      <w:r>
        <w:rPr>
          <w:rFonts w:ascii="Times New Roman" w:cs="Times New Roman" w:eastAsia="Times New Roman" w:hAnsi="Times New Roman"/>
          <w:sz w:val="16"/>
          <w:szCs w:val="16"/>
          <w:color w:val="auto"/>
        </w:rPr>
        <w:t>”),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9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6" w:name="page27"/>
    <w:bookmarkEnd w:id="26"/>
    <w:p>
      <w:pPr>
        <w:jc w:val="both"/>
        <w:ind w:firstLine="1143"/>
        <w:spacing w:after="0" w:line="265" w:lineRule="auto"/>
        <w:tabs>
          <w:tab w:leader="none" w:pos="136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consistently applied during the periods involved, except, in each case, as indicated in such statements or in the notes thereto. BDO USA, P.C. (“</w:t>
      </w:r>
      <w:r>
        <w:rPr>
          <w:rFonts w:ascii="Times New Roman" w:cs="Times New Roman" w:eastAsia="Times New Roman" w:hAnsi="Times New Roman"/>
          <w:sz w:val="16"/>
          <w:szCs w:val="16"/>
          <w:u w:val="single" w:color="auto"/>
          <w:color w:val="auto"/>
        </w:rPr>
        <w:t>BDO</w:t>
      </w:r>
      <w:r>
        <w:rPr>
          <w:rFonts w:ascii="Times New Roman" w:cs="Times New Roman" w:eastAsia="Times New Roman" w:hAnsi="Times New Roman"/>
          <w:sz w:val="16"/>
          <w:szCs w:val="16"/>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 w:cs="Times New Roman" w:eastAsia="Times New Roman" w:hAnsi="Times New Roman"/>
          <w:sz w:val="16"/>
          <w:szCs w:val="16"/>
          <w:u w:val="single" w:color="auto"/>
          <w:color w:val="auto"/>
        </w:rPr>
        <w:t>Company Balance Sheet</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 w:name="page28"/>
    <w:bookmarkEnd w:id="27"/>
    <w:p>
      <w:pPr>
        <w:jc w:val="both"/>
        <w:ind w:firstLine="1143"/>
        <w:spacing w:after="0" w:line="253" w:lineRule="auto"/>
        <w:tabs>
          <w:tab w:leader="none" w:pos="1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since the Applicable Date, BDO, which has expressed its opinion with respect to the financial statements of the Company and its Consolidated Subsidiaries included in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and the statements contained in any such certifications are complete and correct, and the Company is otherwise in compliance in all material respects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left="560" w:firstLine="1156"/>
        <w:spacing w:after="0" w:line="252" w:lineRule="auto"/>
        <w:tabs>
          <w:tab w:leader="none" w:pos="1977"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988"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w:t>
      </w:r>
    </w:p>
    <w:p>
      <w:pPr>
        <w:spacing w:after="0" w:line="162"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7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3.9 of the Company Disclosure Schedule,</w:t>
      </w:r>
    </w:p>
    <w:p>
      <w:pPr>
        <w:spacing w:after="0" w:line="198" w:lineRule="exact"/>
        <w:rPr>
          <w:sz w:val="20"/>
          <w:szCs w:val="20"/>
          <w:color w:val="auto"/>
        </w:rPr>
      </w:pPr>
    </w:p>
    <w:p>
      <w:pPr>
        <w:jc w:val="both"/>
        <w:ind w:firstLine="1143"/>
        <w:spacing w:after="0" w:line="254" w:lineRule="auto"/>
        <w:tabs>
          <w:tab w:leader="none" w:pos="136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 w:name="page31"/>
    <w:bookmarkEnd w:id="30"/>
    <w:p>
      <w:pPr>
        <w:jc w:val="both"/>
        <w:ind w:firstLine="1143"/>
        <w:spacing w:after="0" w:line="253" w:lineRule="auto"/>
        <w:tabs>
          <w:tab w:leader="none" w:pos="136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Company Information</w:t>
      </w:r>
      <w:r>
        <w:rPr>
          <w:rFonts w:ascii="Times New Roman" w:cs="Times New Roman" w:eastAsia="Times New Roman" w:hAnsi="Times New Roman"/>
          <w:sz w:val="16"/>
          <w:szCs w:val="16"/>
          <w:color w:val="auto"/>
        </w:rPr>
        <w:t xml:space="preserve"> .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 w:name="page32"/>
    <w:bookmarkEnd w:id="31"/>
    <w:p>
      <w:pPr>
        <w:jc w:val="both"/>
        <w:ind w:firstLine="1143"/>
        <w:spacing w:after="0" w:line="265" w:lineRule="auto"/>
        <w:tabs>
          <w:tab w:leader="none" w:pos="13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the Company or any Consolidated Subsidiary has been examined by the Internal Revenue Service (the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firstLine="1143"/>
        <w:spacing w:after="0" w:line="265" w:lineRule="auto"/>
        <w:tabs>
          <w:tab w:leader="none" w:pos="1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satisfied (i) the 75% gross income test set forth in Section 856(c)(3) of the Code and (ii) the 95% gross income test set forth in Section 856(c)(2) of the Code.</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distributed dividends in an amount sufficient to satisfy the distribution requirements of Section 857(a)(1)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right="20" w:firstLine="1143"/>
        <w:spacing w:after="0" w:line="265"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1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the Tax Dividend, the Company will have no “earnings and profits” for U.S. federal income Tax purposes described in Section 852(a)(2)(B) of the Code.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or has ever had, a permanent establishment in any country other than the United States.</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requested a private letter ruling from the IRS or comparable rulings from other taxing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authorities.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0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ever been a member of a consolidated, combined or unitary Tax group (other than such a group the common parent of which is the Company or any of its Consolidated Subsidiaries).</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the Company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16"/>
          <w:szCs w:val="16"/>
          <w:u w:val="single" w:color="auto"/>
          <w:color w:val="auto"/>
        </w:rPr>
        <w:t>Employee Benefit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6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Previously Disclosed a complete and accurate list of, and true and complete copies have been delivered or made available (including via EDGAR) to Acquiror of, all Contracts (collectively, the “</w:t>
      </w:r>
      <w:r>
        <w:rPr>
          <w:rFonts w:ascii="Times New Roman" w:cs="Times New Roman" w:eastAsia="Times New Roman" w:hAnsi="Times New Roman"/>
          <w:sz w:val="16"/>
          <w:szCs w:val="16"/>
          <w:u w:val="single" w:color="auto"/>
          <w:color w:val="auto"/>
        </w:rPr>
        <w:t>Company Material Contracts</w:t>
      </w:r>
      <w:r>
        <w:rPr>
          <w:rFonts w:ascii="Times New Roman" w:cs="Times New Roman" w:eastAsia="Times New Roman" w:hAnsi="Times New Roman"/>
          <w:sz w:val="16"/>
          <w:szCs w:val="16"/>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0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the Company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9" w:lineRule="auto"/>
        <w:tabs>
          <w:tab w:leader="none" w:pos="199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ind w:left="560" w:firstLine="1156"/>
        <w:spacing w:after="0" w:line="280" w:lineRule="auto"/>
        <w:tabs>
          <w:tab w:leader="none" w:pos="1978"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limited liability company, joint venture or other similar Contract that is not entered into in the ordinary course of business and is material to the Company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w:t>
      </w:r>
    </w:p>
    <w:p>
      <w:pPr>
        <w:spacing w:after="0" w:line="139" w:lineRule="exact"/>
        <w:rPr>
          <w:rFonts w:ascii="Times New Roman" w:cs="Times New Roman" w:eastAsia="Times New Roman" w:hAnsi="Times New Roman"/>
          <w:sz w:val="15"/>
          <w:szCs w:val="15"/>
          <w:color w:val="auto"/>
        </w:rPr>
      </w:pPr>
    </w:p>
    <w:p>
      <w:pPr>
        <w:jc w:val="both"/>
        <w:ind w:left="560" w:right="20" w:firstLine="1156"/>
        <w:spacing w:after="0" w:line="265" w:lineRule="auto"/>
        <w:tabs>
          <w:tab w:leader="none" w:pos="202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w:t>
      </w:r>
    </w:p>
    <w:p>
      <w:pPr>
        <w:spacing w:after="0" w:line="155"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6" w:name="page37"/>
    <w:bookmarkEnd w:id="36"/>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16"/>
          <w:szCs w:val="16"/>
          <w:u w:val="single" w:color="auto"/>
          <w:color w:val="auto"/>
        </w:rPr>
        <w:t>Company Insurance Policy</w:t>
      </w:r>
      <w:r>
        <w:rPr>
          <w:rFonts w:ascii="Times New Roman" w:cs="Times New Roman" w:eastAsia="Times New Roman" w:hAnsi="Times New Roman"/>
          <w:sz w:val="16"/>
          <w:szCs w:val="16"/>
          <w:color w:val="auto"/>
        </w:rPr>
        <w: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that are material to the conduct of the business of the Company and its Consolidated Subsidiaries taken as a whole (hereinafter, “</w:t>
      </w:r>
      <w:r>
        <w:rPr>
          <w:rFonts w:ascii="Times New Roman" w:cs="Times New Roman" w:eastAsia="Times New Roman" w:hAnsi="Times New Roman"/>
          <w:sz w:val="16"/>
          <w:szCs w:val="16"/>
          <w:u w:val="single" w:color="auto"/>
          <w:color w:val="auto"/>
        </w:rPr>
        <w:t>Company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ind w:right="20" w:firstLine="1143"/>
        <w:spacing w:after="0" w:line="280" w:lineRule="auto"/>
        <w:tabs>
          <w:tab w:leader="none" w:pos="139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the Company, threatened, against the Company or any of its Consolidated Subsidiaries, arising under any Environmental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ind w:right="20" w:firstLine="1143"/>
        <w:spacing w:after="0" w:line="280" w:lineRule="auto"/>
        <w:tabs>
          <w:tab w:leader="none" w:pos="138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the Company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the Company or any of its Consolidated Subsidiaries during the period of the Company’s or its Consolidated Subsidiary’s ownership or lease.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the Company nor any of its Consolidated Subsidiaries owns or leases any real property.</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“moratorium,” “control share,” “fair price,” “takeover” or “interested stockholder” Law (any such laws,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are applicable to this Agreement, the Merger or the other Transactions.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In accordance with Title 3, Subtitle 2 of the MGCL and the Company Charter, no appraisal rights shall be available to holders of Company Common Stock in connection with the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the Company that is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the Company other than investment assets that are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ACQUIROR</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Acquiror hereby represents and warrants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37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form of Articles of Incorporation of Acquiror (the “</w:t>
      </w:r>
      <w:r>
        <w:rPr>
          <w:rFonts w:ascii="Times New Roman" w:cs="Times New Roman" w:eastAsia="Times New Roman" w:hAnsi="Times New Roman"/>
          <w:sz w:val="16"/>
          <w:szCs w:val="16"/>
          <w:u w:val="single" w:color="auto"/>
          <w:color w:val="auto"/>
        </w:rPr>
        <w:t>Acquiror Charter</w:t>
      </w:r>
      <w:r>
        <w:rPr>
          <w:rFonts w:ascii="Times New Roman" w:cs="Times New Roman" w:eastAsia="Times New Roman" w:hAnsi="Times New Roman"/>
          <w:sz w:val="16"/>
          <w:szCs w:val="16"/>
          <w:color w:val="auto"/>
        </w:rPr>
        <w:t>”) and the form of Bylaws of Acquiror (the “</w:t>
      </w:r>
      <w:r>
        <w:rPr>
          <w:rFonts w:ascii="Times New Roman" w:cs="Times New Roman" w:eastAsia="Times New Roman" w:hAnsi="Times New Roman"/>
          <w:sz w:val="16"/>
          <w:szCs w:val="16"/>
          <w:u w:val="single" w:color="auto"/>
          <w:color w:val="auto"/>
        </w:rPr>
        <w:t>Acquiror Bylaws</w:t>
      </w:r>
      <w:r>
        <w:rPr>
          <w:rFonts w:ascii="Times New Roman" w:cs="Times New Roman" w:eastAsia="Times New Roman" w:hAnsi="Times New Roman"/>
          <w:sz w:val="16"/>
          <w:szCs w:val="16"/>
          <w:color w:val="auto"/>
        </w:rPr>
        <w:t>”), as in effect as of the date of this Agreement, have previously been publicly filed by Acquiror.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has no Subsidiaries.</w:t>
      </w:r>
    </w:p>
    <w:p>
      <w:pPr>
        <w:spacing w:after="0" w:line="198"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authorized capital stock of Acquiror consists of (i) 100,000,000 shares of Acquiror Common Stock, of which 22,890,590 were outstanding as of the close of business on June 11, 2026 (the “</w:t>
      </w:r>
      <w:r>
        <w:rPr>
          <w:rFonts w:ascii="Times New Roman" w:cs="Times New Roman" w:eastAsia="Times New Roman" w:hAnsi="Times New Roman"/>
          <w:sz w:val="16"/>
          <w:szCs w:val="16"/>
          <w:u w:val="single" w:color="auto"/>
          <w:color w:val="auto"/>
        </w:rPr>
        <w:t>Acquiror Capitalization Date</w:t>
      </w:r>
      <w:r>
        <w:rPr>
          <w:rFonts w:ascii="Times New Roman" w:cs="Times New Roman" w:eastAsia="Times New Roman" w:hAnsi="Times New Roman"/>
          <w:sz w:val="16"/>
          <w:szCs w:val="16"/>
          <w:color w:val="auto"/>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 w:cs="Times New Roman" w:eastAsia="Times New Roman" w:hAnsi="Times New Roman"/>
          <w:sz w:val="16"/>
          <w:szCs w:val="16"/>
          <w:u w:val="single" w:color="auto"/>
          <w:color w:val="auto"/>
        </w:rPr>
        <w:t>Acquiror Voting Debt</w:t>
      </w:r>
      <w:r>
        <w:rPr>
          <w:rFonts w:ascii="Times New Roman" w:cs="Times New Roman" w:eastAsia="Times New Roman" w:hAnsi="Times New Roman"/>
          <w:sz w:val="16"/>
          <w:szCs w:val="16"/>
          <w:color w:val="auto"/>
        </w:rPr>
        <w:t>”)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ind w:left="56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and (iv) resolved to recommend that the stockholders of Acquiror approve this Agreement and the Merger and the other Transactions contemplated hereby, including the Acquiror Stock Issuance (such recommendation, collectively, the “</w:t>
      </w:r>
      <w:r>
        <w:rPr>
          <w:rFonts w:ascii="Times New Roman" w:cs="Times New Roman" w:eastAsia="Times New Roman" w:hAnsi="Times New Roman"/>
          <w:sz w:val="16"/>
          <w:szCs w:val="16"/>
          <w:u w:val="single" w:color="auto"/>
          <w:color w:val="auto"/>
        </w:rPr>
        <w:t>Acquiror Board Recommendation</w:t>
      </w:r>
      <w:r>
        <w:rPr>
          <w:rFonts w:ascii="Times New Roman" w:cs="Times New Roman" w:eastAsia="Times New Roman" w:hAnsi="Times New Roman"/>
          <w:sz w:val="16"/>
          <w:szCs w:val="16"/>
          <w:color w:val="auto"/>
        </w:rPr>
        <w:t>”).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Governmental Consents</w:t>
      </w:r>
      <w:r>
        <w:rPr>
          <w:rFonts w:ascii="Times New Roman" w:cs="Times New Roman" w:eastAsia="Times New Roman" w:hAnsi="Times New Roman"/>
          <w:sz w:val="16"/>
          <w:szCs w:val="16"/>
          <w:color w:val="auto"/>
        </w:rPr>
        <w:t>.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9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16"/>
          <w:szCs w:val="16"/>
          <w:u w:val="single" w:color="auto"/>
          <w:color w:val="auto"/>
        </w:rPr>
        <w:t>Acquiror SEC Reports</w:t>
      </w:r>
      <w:r>
        <w:rPr>
          <w:rFonts w:ascii="Times New Roman" w:cs="Times New Roman" w:eastAsia="Times New Roman" w:hAnsi="Times New Roman"/>
          <w:sz w:val="16"/>
          <w:szCs w:val="16"/>
          <w:color w:val="auto"/>
        </w:rPr>
        <w:t>”),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1143"/>
        <w:spacing w:after="0" w:line="254" w:lineRule="auto"/>
        <w:tabs>
          <w:tab w:leader="none" w:pos="137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Acquiror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right="20" w:firstLine="1143"/>
        <w:spacing w:after="0" w:line="255" w:lineRule="auto"/>
        <w:tabs>
          <w:tab w:leader="none" w:pos="137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 of Assets and Liabilities</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firstLine="1143"/>
        <w:spacing w:after="0" w:line="265" w:lineRule="auto"/>
        <w:tabs>
          <w:tab w:leader="none" w:pos="135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w:t>
      </w:r>
    </w:p>
    <w:p>
      <w:pPr>
        <w:spacing w:after="0" w:line="162" w:lineRule="exact"/>
        <w:rPr>
          <w:rFonts w:ascii="Times New Roman" w:cs="Times New Roman" w:eastAsia="Times New Roman" w:hAnsi="Times New Roman"/>
          <w:sz w:val="16"/>
          <w:szCs w:val="16"/>
          <w:color w:val="auto"/>
        </w:rPr>
      </w:pPr>
    </w:p>
    <w:p>
      <w:pPr>
        <w:jc w:val="both"/>
        <w:ind w:left="560" w:firstLine="1156"/>
        <w:spacing w:after="0" w:line="252" w:lineRule="auto"/>
        <w:tabs>
          <w:tab w:leader="none" w:pos="1977"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9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left="564" w:right="20" w:firstLine="1156"/>
        <w:spacing w:after="0" w:line="265" w:lineRule="auto"/>
        <w:tabs>
          <w:tab w:leader="none" w:pos="2000"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ind w:left="1384" w:hanging="237"/>
        <w:spacing w:after="0"/>
        <w:tabs>
          <w:tab w:leader="none" w:pos="1384"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Acquiror’s investments as of December 31, 2025 (i) were determined in accordance with ASC Topic 820 (Fair Value Measurement) and</w:t>
      </w:r>
    </w:p>
    <w:p>
      <w:pPr>
        <w:spacing w:after="0" w:line="23"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a reasonable estimate of the fair value of such investments as determined in good faith, after due inquiry, by the Acquiror Board.</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67"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w:t>
      </w:r>
    </w:p>
    <w:p>
      <w:pPr>
        <w:spacing w:after="0" w:line="155"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4.9 of the Acquiror Disclosure Schedule,</w:t>
      </w:r>
    </w:p>
    <w:p>
      <w:pPr>
        <w:spacing w:after="0" w:line="198" w:lineRule="exact"/>
        <w:rPr>
          <w:sz w:val="20"/>
          <w:szCs w:val="20"/>
          <w:color w:val="auto"/>
        </w:rPr>
      </w:pPr>
    </w:p>
    <w:p>
      <w:pPr>
        <w:ind w:left="4" w:firstLine="1143"/>
        <w:spacing w:after="0" w:line="280" w:lineRule="auto"/>
        <w:tabs>
          <w:tab w:leader="none" w:pos="13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maintained at all times a majority of directors that are not “interested persons,” as defined in Section 2(a)(19) of the Investment Company Act, in accordance with Section 56(a) of the Investment Company Act.</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5" w:name="page46"/>
    <w:bookmarkEnd w:id="45"/>
    <w:p>
      <w:pPr>
        <w:jc w:val="both"/>
        <w:ind w:firstLine="1143"/>
        <w:spacing w:after="0" w:line="253"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at all times maintained asset coverage with respect to its senior securities in compliance with Section 61 of the Investment Company Act and the applicable asset coverage requirements thereunder.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firstLine="1143"/>
        <w:spacing w:after="0" w:line="259" w:lineRule="auto"/>
        <w:tabs>
          <w:tab w:leader="none" w:pos="137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 investment advisory agreement with its investment advisor, as set forth in Section 15 of the Investment Company Act.</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the fidelity bond coverage required under Rule 17g-1 of the Investment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Act.</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5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a qualified custodian, as defined in Section 26(a)(1) of the Investment Company Act, to hold its securities and other investments in compliance with Section 17(f) of the Investment Company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their auditors, as set forth in Section 32(a) of the Investment Company Act.</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7" w:name="page48"/>
    <w:bookmarkEnd w:id="47"/>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Acquiror Information</w:t>
      </w:r>
      <w:r>
        <w:rPr>
          <w:rFonts w:ascii="Times New Roman" w:cs="Times New Roman" w:eastAsia="Times New Roman" w:hAnsi="Times New Roman"/>
          <w:sz w:val="16"/>
          <w:szCs w:val="16"/>
          <w:color w:val="auto"/>
        </w:rPr>
        <w:t>.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3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162"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right="20" w:firstLine="1143"/>
        <w:spacing w:after="0" w:line="265" w:lineRule="auto"/>
        <w:tabs>
          <w:tab w:leader="none" w:pos="136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w:t>
      </w:r>
    </w:p>
    <w:p>
      <w:pPr>
        <w:spacing w:after="0" w:line="171" w:lineRule="exact"/>
        <w:rPr>
          <w:rFonts w:ascii="Times New Roman" w:cs="Times New Roman" w:eastAsia="Times New Roman" w:hAnsi="Times New Roman"/>
          <w:sz w:val="16"/>
          <w:szCs w:val="16"/>
          <w:color w:val="auto"/>
        </w:rPr>
      </w:pPr>
    </w:p>
    <w:p>
      <w:pPr>
        <w:ind w:right="20" w:firstLine="1143"/>
        <w:spacing w:after="0" w:line="315" w:lineRule="auto"/>
        <w:tabs>
          <w:tab w:leader="none" w:pos="1377"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w:t>
      </w:r>
    </w:p>
    <w:p>
      <w:pPr>
        <w:spacing w:after="0" w:line="120" w:lineRule="exact"/>
        <w:rPr>
          <w:rFonts w:ascii="Times New Roman" w:cs="Times New Roman" w:eastAsia="Times New Roman" w:hAnsi="Times New Roman"/>
          <w:sz w:val="15"/>
          <w:szCs w:val="15"/>
          <w:color w:val="auto"/>
        </w:rPr>
      </w:pPr>
    </w:p>
    <w:p>
      <w:pPr>
        <w:ind w:left="1340" w:hanging="197"/>
        <w:spacing w:after="0"/>
        <w:tabs>
          <w:tab w:leader="none" w:pos="13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taxable year since Acquiror’s election to be treated as a RIC, Acquiror has satisfied the 90% gross income test set forth in Section 851(b)(2) of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Code.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firstLine="1143"/>
        <w:spacing w:after="0" w:line="254" w:lineRule="auto"/>
        <w:tabs>
          <w:tab w:leader="none" w:pos="136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Acquiror’s election to be treated as a RIC, Acquiror has distributed dividends in an amount sufficient to satisfy the distribution requirements of Section 852(a)(1) of the Code.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2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no “earnings and profits” for U.S. federal income Tax purposes described in Section 852(a)(2)(B) of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ind w:right="20" w:firstLine="1143"/>
        <w:spacing w:after="0" w:line="315" w:lineRule="auto"/>
        <w:tabs>
          <w:tab w:leader="none" w:pos="137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w:t>
      </w:r>
    </w:p>
    <w:p>
      <w:pPr>
        <w:spacing w:after="0" w:line="120" w:lineRule="exact"/>
        <w:rPr>
          <w:rFonts w:ascii="Times New Roman" w:cs="Times New Roman" w:eastAsia="Times New Roman" w:hAnsi="Times New Roman"/>
          <w:sz w:val="15"/>
          <w:szCs w:val="15"/>
          <w:color w:val="auto"/>
        </w:rPr>
      </w:pPr>
    </w:p>
    <w:p>
      <w:pPr>
        <w:ind w:left="1360" w:hanging="217"/>
        <w:spacing w:after="0"/>
        <w:tabs>
          <w:tab w:leader="none" w:pos="13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Acquiror nor any of its Consolidated Subsidiaries has, or has ever had, a permanent establishment in any country other than the United States.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ind w:left="1140"/>
        <w:spacing w:after="0"/>
        <w:rPr>
          <w:sz w:val="20"/>
          <w:szCs w:val="20"/>
          <w:color w:val="auto"/>
        </w:rPr>
      </w:pPr>
      <w:r>
        <w:rPr>
          <w:rFonts w:ascii="Times New Roman" w:cs="Times New Roman" w:eastAsia="Times New Roman" w:hAnsi="Times New Roman"/>
          <w:sz w:val="16"/>
          <w:szCs w:val="16"/>
          <w:color w:val="auto"/>
        </w:rPr>
        <w:t>(r) Neither Acquiror nor any of its Consolidated Subsidiaries has requested a private letter ruling from the IRS or comparable rulings from other taxing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authorities.</w:t>
      </w:r>
    </w:p>
    <w:p>
      <w:pPr>
        <w:spacing w:after="0" w:line="182" w:lineRule="exact"/>
        <w:rPr>
          <w:sz w:val="20"/>
          <w:szCs w:val="20"/>
          <w:color w:val="auto"/>
        </w:rPr>
      </w:pPr>
    </w:p>
    <w:p>
      <w:pPr>
        <w:jc w:val="both"/>
        <w:ind w:right="20" w:firstLine="1143"/>
        <w:spacing w:after="0" w:line="265" w:lineRule="auto"/>
        <w:tabs>
          <w:tab w:leader="none" w:pos="137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ever been a member of a consolidated, combined or unitary Tax group (other than such a group the common parent of which is Acquiror or any of its Consolidated Subsidiaries).</w:t>
      </w:r>
    </w:p>
    <w:p>
      <w:pPr>
        <w:spacing w:after="0" w:line="144"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Acquiror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18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Acquiror nor any of its Consolidated Subsidiaries has (i) any employees or (ii) any Employee Benefit Plans.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Previously Disclosed a complete and accurate list of, and true and complete copies have been delivered or made available (including via EDGAR) to the Company of, all Contracts (collectively, the “</w:t>
      </w:r>
      <w:r>
        <w:rPr>
          <w:rFonts w:ascii="Times New Roman" w:cs="Times New Roman" w:eastAsia="Times New Roman" w:hAnsi="Times New Roman"/>
          <w:sz w:val="16"/>
          <w:szCs w:val="16"/>
          <w:u w:val="single" w:color="auto"/>
          <w:color w:val="auto"/>
        </w:rPr>
        <w:t>Acquiror Material Contracts</w:t>
      </w:r>
      <w:r>
        <w:rPr>
          <w:rFonts w:ascii="Times New Roman" w:cs="Times New Roman" w:eastAsia="Times New Roman" w:hAnsi="Times New Roman"/>
          <w:sz w:val="16"/>
          <w:szCs w:val="16"/>
          <w:color w:val="auto"/>
        </w:rPr>
        <w:t>”)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89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Acquiror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8"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jc w:val="both"/>
        <w:ind w:left="560" w:firstLine="1156"/>
        <w:spacing w:after="0" w:line="259" w:lineRule="auto"/>
        <w:tabs>
          <w:tab w:leader="none" w:pos="199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98"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w:t>
      </w:r>
    </w:p>
    <w:p>
      <w:pPr>
        <w:spacing w:after="0" w:line="139" w:lineRule="exact"/>
        <w:rPr>
          <w:rFonts w:ascii="Times New Roman" w:cs="Times New Roman" w:eastAsia="Times New Roman" w:hAnsi="Times New Roman"/>
          <w:sz w:val="15"/>
          <w:szCs w:val="15"/>
          <w:color w:val="auto"/>
        </w:rPr>
      </w:pPr>
    </w:p>
    <w:p>
      <w:pPr>
        <w:ind w:left="560" w:firstLine="1156"/>
        <w:spacing w:after="0" w:line="280" w:lineRule="auto"/>
        <w:tabs>
          <w:tab w:leader="none" w:pos="204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Acquiror or any of its Consolidated Subsidiaries to conduct any business that is material to Acquiror and its Consolidated Subsidiaries, taken as a whole, on an exclusive basis with any third party; or</w:t>
      </w:r>
    </w:p>
    <w:p>
      <w:pPr>
        <w:spacing w:after="0" w:line="144"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Acquiror or any of its Consolidated Subsidiaries and that name Acquiror or any of its Consolidated Subsidiaries as an insured (each, a “</w:t>
      </w:r>
      <w:r>
        <w:rPr>
          <w:rFonts w:ascii="Times New Roman" w:cs="Times New Roman" w:eastAsia="Times New Roman" w:hAnsi="Times New Roman"/>
          <w:sz w:val="16"/>
          <w:szCs w:val="16"/>
          <w:u w:val="single" w:color="auto"/>
          <w:color w:val="auto"/>
        </w:rPr>
        <w:t>Acquiror Insurance Policy</w:t>
      </w:r>
      <w:r>
        <w:rPr>
          <w:rFonts w:ascii="Times New Roman" w:cs="Times New Roman" w:eastAsia="Times New Roman" w:hAnsi="Times New Roman"/>
          <w:sz w:val="16"/>
          <w:szCs w:val="16"/>
          <w:color w:val="auto"/>
        </w:rPr>
        <w:t>”),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 w:cs="Times New Roman" w:eastAsia="Times New Roman" w:hAnsi="Times New Roman"/>
          <w:sz w:val="16"/>
          <w:szCs w:val="16"/>
          <w:u w:val="single" w:color="auto"/>
          <w:color w:val="auto"/>
        </w:rPr>
        <w:t>Acquiror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Acquiror:</w:t>
      </w:r>
    </w:p>
    <w:p>
      <w:pPr>
        <w:spacing w:after="0" w:line="198" w:lineRule="exact"/>
        <w:rPr>
          <w:sz w:val="20"/>
          <w:szCs w:val="20"/>
          <w:color w:val="auto"/>
        </w:rPr>
      </w:pPr>
    </w:p>
    <w:p>
      <w:pPr>
        <w:ind w:right="20" w:firstLine="1143"/>
        <w:spacing w:after="0" w:line="280" w:lineRule="auto"/>
        <w:tabs>
          <w:tab w:leader="none" w:pos="13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Acquiror, threatened, against Acquiror or any of its Consolidated Subsidiaries, arising under any Environmental Law;</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Acquiror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Acquiror or any of its Consolidated Subsidiaries during the period of Acquiror’s or its Consolidated Subsidiary’s ownership or lease.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3" w:name="page54"/>
    <w:bookmarkEnd w:id="53"/>
    <w:p>
      <w:pPr>
        <w:ind w:left="560"/>
        <w:spacing w:after="0"/>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Acquiror nor any of its Consolidated Subsidiaries owns or leases any real property.</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the value of Acquiror’s total assets (other than assets described in Section 55(a)(7) of the Investment Company Act). Acquiror has at all times made available significant managerial assistance, as defined in Section 2(a) (47) of the Investment Company Act, to the issuers of securities of eligible portfolio companies in which the Acquiror has made qualifying investments.</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Takeover Statutes are applicable to this Agreement, the Merger or the other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that is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4.22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ADVISERS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Except with respect to matters set forth in the Acquiror Adviser Disclosure Schedule or the Company Manager Disclosure Schedule, as applicable, each of the Acquiror Adviser and the Company Manager (each referred to herein as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Organization</w:t>
      </w:r>
      <w:r>
        <w:rPr>
          <w:rFonts w:ascii="Times New Roman" w:cs="Times New Roman" w:eastAsia="Times New Roman" w:hAnsi="Times New Roman"/>
          <w:sz w:val="16"/>
          <w:szCs w:val="16"/>
          <w:color w:val="auto"/>
        </w:rPr>
        <w:t>.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7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5" w:name="page56"/>
    <w:bookmarkEnd w:id="55"/>
    <w:p>
      <w:pPr>
        <w:jc w:val="both"/>
        <w:ind w:firstLine="1143"/>
        <w:spacing w:after="0" w:line="259" w:lineRule="auto"/>
        <w:tabs>
          <w:tab w:leader="none" w:pos="139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5.3 of the Acquiror Adviser Disclosure Schedule or the Company Manager Disclosure Schedule, as applicable,</w:t>
      </w:r>
    </w:p>
    <w:p>
      <w:pPr>
        <w:spacing w:after="0" w:line="144" w:lineRule="exact"/>
        <w:rPr>
          <w:sz w:val="20"/>
          <w:szCs w:val="20"/>
          <w:color w:val="auto"/>
        </w:rPr>
      </w:pPr>
    </w:p>
    <w:p>
      <w:pPr>
        <w:jc w:val="both"/>
        <w:ind w:firstLine="1143"/>
        <w:spacing w:after="0" w:line="255" w:lineRule="auto"/>
        <w:tabs>
          <w:tab w:leader="none" w:pos="136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6" w:name="page57"/>
    <w:bookmarkEnd w:id="56"/>
    <w:p>
      <w:pPr>
        <w:jc w:val="both"/>
        <w:ind w:firstLine="1143"/>
        <w:spacing w:after="0" w:line="252" w:lineRule="auto"/>
        <w:tabs>
          <w:tab w:leader="none" w:pos="13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7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prior to the date of this Agreement that it has been the adviser to the Company or Acquiror, there has been no material adverse change in the operations, affairs or regulatory status of Adviser.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or the Company that is used in connection with the computations made by Adviser on behalf of the Acquiror or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Adviser Information</w:t>
      </w:r>
      <w:r>
        <w:rPr>
          <w:rFonts w:ascii="Times New Roman" w:cs="Times New Roman" w:eastAsia="Times New Roman" w:hAnsi="Times New Roman"/>
          <w:sz w:val="16"/>
          <w:szCs w:val="16"/>
          <w:color w:val="auto"/>
        </w:rPr>
        <w:t>.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Financial Resources</w:t>
      </w:r>
      <w:r>
        <w:rPr>
          <w:rFonts w:ascii="Times New Roman" w:cs="Times New Roman" w:eastAsia="Times New Roman" w:hAnsi="Times New Roman"/>
          <w:sz w:val="16"/>
          <w:szCs w:val="16"/>
          <w:color w:val="auto"/>
        </w:rPr>
        <w:t>. Adviser has the financial resources available to it necessary for the performance of its services and obligations as contemplated in the Registration Statement and the Joint Proxy Statement/Prospectus and under this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Acquiror or Company Representations and Warranties</w:t>
      </w:r>
      <w:r>
        <w:rPr>
          <w:rFonts w:ascii="Times New Roman" w:cs="Times New Roman" w:eastAsia="Times New Roman" w:hAnsi="Times New Roman"/>
          <w:sz w:val="16"/>
          <w:szCs w:val="16"/>
          <w:color w:val="auto"/>
        </w:rPr>
        <w:t>. To the knowledge of Adviser, as of the date hereof, the representations and warranties made by the Company in Article III or the representations and warranties made by Acquiror in Article IV, as applicable, are true and correct in all material respects.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RELATING TO CONDUCT OF BUSINESS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Conduct of Businesses Prior to the Merger Effective Time</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Forbearances</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w:t>
      </w:r>
    </w:p>
    <w:p>
      <w:pPr>
        <w:spacing w:after="0" w:line="162" w:lineRule="exact"/>
        <w:rPr>
          <w:sz w:val="20"/>
          <w:szCs w:val="20"/>
          <w:color w:val="auto"/>
        </w:rPr>
      </w:pPr>
    </w:p>
    <w:p>
      <w:pPr>
        <w:jc w:val="both"/>
        <w:ind w:left="560" w:firstLine="583"/>
        <w:spacing w:after="0" w:line="259" w:lineRule="auto"/>
        <w:tabs>
          <w:tab w:leader="none" w:pos="135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pursuant to such party’s dividend reinvestment plan as in effect as of the date of this Agreement or pursuant to capital calls with respect to any Company subscription agreements, issue, deliver, sell or 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w:t>
      </w:r>
    </w:p>
    <w:p>
      <w:pPr>
        <w:spacing w:after="0" w:line="16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Make, authorize, declare, pay or set aside any dividend in respect of, or declare or make any distribution on, any shares of its capital stock, except for</w:t>
      </w:r>
    </w:p>
    <w:p>
      <w:pPr>
        <w:spacing w:after="0" w:line="23" w:lineRule="exact"/>
        <w:rPr>
          <w:rFonts w:ascii="Times New Roman" w:cs="Times New Roman" w:eastAsia="Times New Roman" w:hAnsi="Times New Roman"/>
          <w:sz w:val="16"/>
          <w:szCs w:val="16"/>
          <w:color w:val="auto"/>
        </w:rPr>
      </w:pPr>
    </w:p>
    <w:p>
      <w:pPr>
        <w:jc w:val="both"/>
        <w:ind w:left="560" w:right="20" w:firstLine="9"/>
        <w:spacing w:after="0" w:line="250" w:lineRule="auto"/>
        <w:tabs>
          <w:tab w:leader="none" w:pos="83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9" w:name="page60"/>
    <w:bookmarkEnd w:id="59"/>
    <w:p>
      <w:pPr>
        <w:jc w:val="both"/>
        <w:ind w:left="-560" w:firstLine="583"/>
        <w:spacing w:after="0" w:line="265" w:lineRule="auto"/>
        <w:tabs>
          <w:tab w:leader="none" w:pos="26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6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Company Charter, Company Bylaws, the Acquiror Charter, the Acquiror Bylaws or other governing documents or similar governing documents of any of its Consolidated Subsidiaries.</w:t>
      </w:r>
    </w:p>
    <w:p>
      <w:pPr>
        <w:spacing w:after="0" w:line="144" w:lineRule="exact"/>
        <w:rPr>
          <w:rFonts w:ascii="Times New Roman" w:cs="Times New Roman" w:eastAsia="Times New Roman" w:hAnsi="Times New Roman"/>
          <w:sz w:val="16"/>
          <w:szCs w:val="16"/>
          <w:color w:val="auto"/>
        </w:rPr>
      </w:pPr>
    </w:p>
    <w:p>
      <w:pPr>
        <w:ind w:left="-560" w:firstLine="583"/>
        <w:spacing w:after="0" w:line="280" w:lineRule="auto"/>
        <w:tabs>
          <w:tab w:leader="none" w:pos="23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adopt any material change in its Tax or financial accounting principles, practices or methods, other than as required by applicable Law, GAAP, the SEC or applicable regulatory requirements.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employees; establish, become a party to or commit to adopt any Employee Benefit Plan other than the Company Incentive Plan; or amend, modify or waive any provision of the Company Incentive Plan.</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foregoing shall not preclude the Company from declaring or paying any Tax Dividend on or before the Closing Date.</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0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agree to make any new capital expenditure other than obligations to fund commitments to portfolio companies entered into in the ordinary course of business or in an aggregate amount not in excess of $500,000.</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0" w:name="page61"/>
    <w:bookmarkEnd w:id="60"/>
    <w:p>
      <w:pPr>
        <w:ind w:left="-560" w:firstLine="583"/>
        <w:spacing w:after="0" w:line="280" w:lineRule="auto"/>
        <w:tabs>
          <w:tab w:leader="none" w:pos="20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is reasonably likely to cause such party to fail to qualify as a RIC or a REIT, as applicable.</w:t>
      </w:r>
    </w:p>
    <w:p>
      <w:pPr>
        <w:spacing w:after="0" w:line="144"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28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w:t>
      </w:r>
    </w:p>
    <w:p>
      <w:pPr>
        <w:spacing w:after="0" w:line="161"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terminate, cancel, renew or agree to any material amendment of, change in or waiver under any Company Material Contract or Acquiror Material Contract.</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24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65" w:lineRule="auto"/>
        <w:tabs>
          <w:tab w:leader="none" w:pos="25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2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 to take, or adopt any resolutions of the Company Board or the Acquiror Board, as applicable, authorizing, any of the actions prohibited by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8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right of Acquiror to take any action that constitutes an Acquiror Adverse Recommendation Change as expressly permitted pursuant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and the right of the Company to take any action that constitutes a Company Adverse Recommendation Change as expressly permitted pursuant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w:t>
      </w:r>
    </w:p>
    <w:p>
      <w:pPr>
        <w:spacing w:after="0" w:line="166"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 w:cs="Times New Roman" w:eastAsia="Times New Roman" w:hAnsi="Times New Roman"/>
          <w:sz w:val="16"/>
          <w:szCs w:val="16"/>
          <w:u w:val="single" w:color="auto"/>
          <w:color w:val="auto"/>
        </w:rPr>
        <w:t>Section 7.1(a)</w:t>
      </w:r>
      <w:r>
        <w:rPr>
          <w:rFonts w:ascii="Times New Roman" w:cs="Times New Roman" w:eastAsia="Times New Roman" w:hAnsi="Times New Roman"/>
          <w:sz w:val="16"/>
          <w:szCs w:val="16"/>
          <w:color w:val="auto"/>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2" w:name="page63"/>
    <w:bookmarkEnd w:id="62"/>
    <w:p>
      <w:pPr>
        <w:ind w:left="56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9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7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use reasonable best efforts to obtain from Acquiror’s stockholders the Acquiror Requisite Vote, including,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by providing to Acquiror’s stockholders the Acquiror Board Recommendation and including such recommendation in the Joint Proxy Statement/Prospectus and by, at the request of the Company, postponing or adjourning the Acquiror Stockholders Meeting to obtain a quorum or solicit additional proxies;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Acquiror’s obligations pursuant to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3" w:name="page64"/>
    <w:bookmarkEnd w:id="63"/>
    <w:p>
      <w:pPr>
        <w:jc w:val="both"/>
        <w:ind w:firstLine="1143"/>
        <w:spacing w:after="0" w:line="251" w:lineRule="auto"/>
        <w:tabs>
          <w:tab w:leader="none" w:pos="140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unless (i)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Company’s obligations pursuant to this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w:t>
      </w:r>
    </w:p>
    <w:p>
      <w:pPr>
        <w:spacing w:after="0" w:line="168"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Acquiror shall use reasonable best efforts to cause the shares of Acquiror Common Stock to be issued as Merger Consideration under this Agreement to be approved for listing on the NASDAQ, subject to official notice of issuance, at or prior to the Merger Effective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Indemnification; Directors’ and Officers’ Insurance.</w:t>
      </w:r>
    </w:p>
    <w:p>
      <w:pPr>
        <w:spacing w:after="0" w:line="198" w:lineRule="exact"/>
        <w:rPr>
          <w:sz w:val="20"/>
          <w:szCs w:val="20"/>
          <w:color w:val="auto"/>
        </w:rPr>
      </w:pPr>
    </w:p>
    <w:p>
      <w:pPr>
        <w:jc w:val="both"/>
        <w:ind w:firstLine="1143"/>
        <w:spacing w:after="0" w:line="252" w:lineRule="auto"/>
        <w:tabs>
          <w:tab w:leader="none" w:pos="139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16"/>
          <w:szCs w:val="16"/>
          <w:u w:val="single" w:color="auto"/>
          <w:color w:val="auto"/>
        </w:rPr>
        <w:t>Indemnified Liabilities</w:t>
      </w:r>
      <w:r>
        <w:rPr>
          <w:rFonts w:ascii="Times New Roman" w:cs="Times New Roman" w:eastAsia="Times New Roman" w:hAnsi="Times New Roman"/>
          <w:sz w:val="16"/>
          <w:szCs w:val="16"/>
          <w:color w:val="auto"/>
        </w:rPr>
        <w:t>”)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jc w:val="both"/>
        <w:ind w:right="20" w:firstLine="1143"/>
        <w:spacing w:after="0" w:line="252" w:lineRule="auto"/>
        <w:tabs>
          <w:tab w:leader="none" w:pos="139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 w:cs="Times New Roman" w:eastAsia="Times New Roman" w:hAnsi="Times New Roman"/>
          <w:sz w:val="16"/>
          <w:szCs w:val="16"/>
          <w:u w:val="single" w:color="auto"/>
          <w:color w:val="auto"/>
        </w:rPr>
        <w:t>Tail Period</w:t>
      </w:r>
      <w:r>
        <w:rPr>
          <w:rFonts w:ascii="Times New Roman" w:cs="Times New Roman" w:eastAsia="Times New Roman" w:hAnsi="Times New Roman"/>
          <w:sz w:val="16"/>
          <w:szCs w:val="16"/>
          <w:color w:val="auto"/>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 w:cs="Times New Roman" w:eastAsia="Times New Roman" w:hAnsi="Times New Roman"/>
          <w:sz w:val="16"/>
          <w:szCs w:val="16"/>
          <w:u w:val="single" w:color="auto"/>
          <w:color w:val="auto"/>
        </w:rPr>
        <w:t>Current D&amp;O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the annual cost of such insurance exceed during the Tail Period 300% of the current aggregate annual premium paid by the Company for such purpose;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cost of such insurance coverage exceeds such amount, the Surviving Company or its successor shall obtain a policy with the greatest coverage available for a cost not exceeding such amount.</w:t>
      </w:r>
    </w:p>
    <w:p>
      <w:pPr>
        <w:spacing w:after="0" w:line="167"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Indemnified Party wishing to claim indemnification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upon learning of any Proceeding described above, shall promptly notify Acquiror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so notify shall not affect the obligations of Acquiror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unless Acquiror is materially prejudiced as a consequence.</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0" w:lineRule="auto"/>
        <w:tabs>
          <w:tab w:leader="none" w:pos="136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in the case of Acquiror and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firstLine="1143"/>
        <w:spacing w:after="0" w:line="253" w:lineRule="auto"/>
        <w:tabs>
          <w:tab w:leader="none" w:pos="137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Acquiror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Acquiror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5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xml:space="preserve"> below, adopt, approve or recommend, or publicly propose to adopt, approve or recommend such Takeover Proposal, including entering into an agreement with respect thereto (collectively, a “</w:t>
      </w:r>
      <w:r>
        <w:rPr>
          <w:rFonts w:ascii="Times New Roman" w:cs="Times New Roman" w:eastAsia="Times New Roman" w:hAnsi="Times New Roman"/>
          <w:sz w:val="16"/>
          <w:szCs w:val="16"/>
          <w:u w:val="single" w:color="auto"/>
          <w:color w:val="auto"/>
        </w:rPr>
        <w:t>Takeover Approval</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Acquiror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52" w:lineRule="auto"/>
        <w:tabs>
          <w:tab w:leader="none" w:pos="13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an Acquiror Superior Proposal, Acquiror shall promptly provide (and in any event within twenty-four (24) hours of such determination) to the Company a written notice (a “</w:t>
      </w:r>
      <w:r>
        <w:rPr>
          <w:rFonts w:ascii="Times New Roman" w:cs="Times New Roman" w:eastAsia="Times New Roman" w:hAnsi="Times New Roman"/>
          <w:sz w:val="16"/>
          <w:szCs w:val="16"/>
          <w:u w:val="single" w:color="auto"/>
          <w:color w:val="auto"/>
        </w:rPr>
        <w:t>Notice of an Acquiror Superior Proposal</w:t>
      </w:r>
      <w:r>
        <w:rPr>
          <w:rFonts w:ascii="Times New Roman" w:cs="Times New Roman" w:eastAsia="Times New Roman" w:hAnsi="Times New Roman"/>
          <w:sz w:val="16"/>
          <w:szCs w:val="16"/>
          <w:color w:val="auto"/>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xml:space="preserve"> above, Acquiror may terminate this Agreement pursuant to </w:t>
      </w:r>
      <w:r>
        <w:rPr>
          <w:rFonts w:ascii="Times New Roman" w:cs="Times New Roman" w:eastAsia="Times New Roman" w:hAnsi="Times New Roman"/>
          <w:sz w:val="16"/>
          <w:szCs w:val="16"/>
          <w:u w:val="single" w:color="auto"/>
          <w:color w:val="auto"/>
        </w:rPr>
        <w:t>Section 9.1(d)(iv)</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90" w:lineRule="auto"/>
        <w:tabs>
          <w:tab w:leader="none" w:pos="139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as permitted by </w:t>
      </w:r>
      <w:r>
        <w:rPr>
          <w:rFonts w:ascii="Times New Roman" w:cs="Times New Roman" w:eastAsia="Times New Roman" w:hAnsi="Times New Roman"/>
          <w:sz w:val="15"/>
          <w:szCs w:val="15"/>
          <w:u w:val="single" w:color="auto"/>
          <w:color w:val="auto"/>
        </w:rPr>
        <w:t>Section 7.7(a)</w:t>
      </w:r>
      <w:r>
        <w:rPr>
          <w:rFonts w:ascii="Times New Roman" w:cs="Times New Roman" w:eastAsia="Times New Roman" w:hAnsi="Times New Roman"/>
          <w:sz w:val="15"/>
          <w:szCs w:val="15"/>
          <w:color w:val="auto"/>
        </w:rPr>
        <w:t>,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w:t>
      </w:r>
    </w:p>
    <w:p>
      <w:pPr>
        <w:spacing w:after="0" w:line="139" w:lineRule="exact"/>
        <w:rPr>
          <w:rFonts w:ascii="Times New Roman" w:cs="Times New Roman" w:eastAsia="Times New Roman" w:hAnsi="Times New Roman"/>
          <w:sz w:val="15"/>
          <w:szCs w:val="15"/>
          <w:color w:val="auto"/>
        </w:rPr>
      </w:pPr>
    </w:p>
    <w:p>
      <w:pPr>
        <w:ind w:right="20" w:firstLine="1143"/>
        <w:spacing w:after="0" w:line="280" w:lineRule="auto"/>
        <w:tabs>
          <w:tab w:leader="none" w:pos="137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 w:cs="Times New Roman" w:eastAsia="Times New Roman" w:hAnsi="Times New Roman"/>
          <w:sz w:val="16"/>
          <w:szCs w:val="16"/>
          <w:u w:val="single" w:color="auto"/>
          <w:color w:val="auto"/>
        </w:rPr>
        <w:t>Acquiror Intervening Event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Recommendation Change</w:t>
      </w:r>
      <w:r>
        <w:rPr>
          <w:rFonts w:ascii="Times New Roman" w:cs="Times New Roman" w:eastAsia="Times New Roman" w:hAnsi="Times New Roman"/>
          <w:sz w:val="16"/>
          <w:szCs w:val="16"/>
          <w:color w:val="auto"/>
        </w:rPr>
        <w:t>”) if (A) prior to effecting any such Acquiror Intervening Event Recommendation Change, Acquiror promptly notifies the Company, in writing, at least five (5) Business Days (the “</w:t>
      </w:r>
      <w:r>
        <w:rPr>
          <w:rFonts w:ascii="Times New Roman" w:cs="Times New Roman" w:eastAsia="Times New Roman" w:hAnsi="Times New Roman"/>
          <w:sz w:val="16"/>
          <w:szCs w:val="16"/>
          <w:u w:val="single" w:color="auto"/>
          <w:color w:val="auto"/>
        </w:rPr>
        <w:t>Acquiror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right="20" w:firstLine="1143"/>
        <w:spacing w:after="0" w:line="255" w:lineRule="auto"/>
        <w:tabs>
          <w:tab w:leader="none" w:pos="134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Company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7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the Company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w:t>
      </w:r>
    </w:p>
    <w:p>
      <w:pPr>
        <w:spacing w:after="0" w:line="16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7.8(b)</w:t>
      </w:r>
      <w:r>
        <w:rPr>
          <w:rFonts w:ascii="Times New Roman" w:cs="Times New Roman" w:eastAsia="Times New Roman" w:hAnsi="Times New Roman"/>
          <w:sz w:val="16"/>
          <w:szCs w:val="16"/>
          <w:color w:val="auto"/>
        </w:rPr>
        <w:t xml:space="preserve"> below, effect a Takeover Approval.</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Company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firstLine="1143"/>
        <w:spacing w:after="0" w:line="252" w:lineRule="auto"/>
        <w:tabs>
          <w:tab w:leader="none" w:pos="1374"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 Company Superior Proposal, the Company shall promptly provide (and in any event within twenty-four (24) hours of such determination) to Acquiror a written notice (a “</w:t>
      </w:r>
      <w:r>
        <w:rPr>
          <w:rFonts w:ascii="Times New Roman" w:cs="Times New Roman" w:eastAsia="Times New Roman" w:hAnsi="Times New Roman"/>
          <w:sz w:val="16"/>
          <w:szCs w:val="16"/>
          <w:u w:val="single" w:color="auto"/>
          <w:color w:val="auto"/>
        </w:rPr>
        <w:t>Notice of a Company Superior Proposal</w:t>
      </w:r>
      <w:r>
        <w:rPr>
          <w:rFonts w:ascii="Times New Roman" w:cs="Times New Roman" w:eastAsia="Times New Roman" w:hAnsi="Times New Roman"/>
          <w:sz w:val="16"/>
          <w:szCs w:val="16"/>
          <w:color w:val="auto"/>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xml:space="preserve"> above, the Company may terminate this Agreement pursuant to Section 9‎.1(c)(iv).</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as permitted by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9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 w:cs="Times New Roman" w:eastAsia="Times New Roman" w:hAnsi="Times New Roman"/>
          <w:sz w:val="16"/>
          <w:szCs w:val="16"/>
          <w:u w:val="single" w:color="auto"/>
          <w:color w:val="auto"/>
        </w:rPr>
        <w:t>Company Intervening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Event Recommendation Change</w:t>
      </w:r>
      <w:r>
        <w:rPr>
          <w:rFonts w:ascii="Times New Roman" w:cs="Times New Roman" w:eastAsia="Times New Roman" w:hAnsi="Times New Roman"/>
          <w:sz w:val="16"/>
          <w:szCs w:val="16"/>
          <w:color w:val="auto"/>
        </w:rPr>
        <w:t>”) if (A) prior to effecting any such Company Intervening Event Recommendation Change, the Company promptly notifies Acquiror, in writing, at least five (5) Business Days (the “</w:t>
      </w:r>
      <w:r>
        <w:rPr>
          <w:rFonts w:ascii="Times New Roman" w:cs="Times New Roman" w:eastAsia="Times New Roman" w:hAnsi="Times New Roman"/>
          <w:sz w:val="16"/>
          <w:szCs w:val="16"/>
          <w:u w:val="single" w:color="auto"/>
          <w:color w:val="auto"/>
        </w:rPr>
        <w:t>Company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w:t>
      </w:r>
    </w:p>
    <w:p>
      <w:pPr>
        <w:spacing w:after="0" w:line="169"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5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-3305810</wp:posOffset>
            </wp:positionV>
            <wp:extent cx="7131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ind w:left="560"/>
        <w:spacing w:after="0"/>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either Acquiror or the Company may restrict access to the extent required by any applicable Law or as may be necessary to preserve attorney-client privilege under any circumstances in which such privilege may be jeopardized by such disclosure or access.</w:t>
      </w:r>
    </w:p>
    <w:p>
      <w:pPr>
        <w:spacing w:after="0" w:line="166"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investigation by a party hereto or its representatives shall affect or be deemed to modify the representations and warranties of the other party set forth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Agreement.</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xml:space="preserve">. The initial press release with respect to the Transactions shall be a joint press release reasonably acceptable to each of the Company, Acquiror and the Advisers. Thereafter, so long as this Agreement is in effect, the 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Takeover Statutes and Provisions</w:t>
      </w:r>
      <w:r>
        <w:rPr>
          <w:rFonts w:ascii="Times New Roman" w:cs="Times New Roman" w:eastAsia="Times New Roman" w:hAnsi="Times New Roman"/>
          <w:sz w:val="16"/>
          <w:szCs w:val="16"/>
          <w:color w:val="auto"/>
        </w:rPr>
        <w:t>.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9" w:lineRule="auto"/>
        <w:tabs>
          <w:tab w:leader="none" w:pos="136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Representation Letters</w:t>
      </w:r>
      <w:r>
        <w:rPr>
          <w:rFonts w:ascii="Times New Roman" w:cs="Times New Roman" w:eastAsia="Times New Roman" w:hAnsi="Times New Roman"/>
          <w:sz w:val="16"/>
          <w:szCs w:val="16"/>
          <w:color w:val="auto"/>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 w:cs="Times New Roman" w:eastAsia="Times New Roman" w:hAnsi="Times New Roman"/>
          <w:sz w:val="16"/>
          <w:szCs w:val="16"/>
          <w:u w:val="single" w:color="auto"/>
          <w:color w:val="auto"/>
        </w:rPr>
        <w:t>Sections 8.2(f)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8.3(e)</w:t>
      </w:r>
      <w:r>
        <w:rPr>
          <w:rFonts w:ascii="Times New Roman" w:cs="Times New Roman" w:eastAsia="Times New Roman" w:hAnsi="Times New Roman"/>
          <w:sz w:val="16"/>
          <w:szCs w:val="16"/>
          <w:color w:val="auto"/>
        </w:rPr>
        <w:t>) in form and substance reasonably satisfactory to each such counsel, containing such representations as shall be reasonably necessary or appropriate to enable such counsel to deliver the relevant tax opinions.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jc w:val="both"/>
        <w:ind w:firstLine="1143"/>
        <w:spacing w:after="0" w:line="255" w:lineRule="auto"/>
        <w:tabs>
          <w:tab w:leader="none" w:pos="137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RIC and REIT Status</w:t>
      </w:r>
      <w:r>
        <w:rPr>
          <w:rFonts w:ascii="Times New Roman" w:cs="Times New Roman" w:eastAsia="Times New Roman" w:hAnsi="Times New Roman"/>
          <w:sz w:val="16"/>
          <w:szCs w:val="16"/>
          <w:color w:val="auto"/>
        </w:rPr>
        <w:t>.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w:t>
      </w:r>
    </w:p>
    <w:p>
      <w:pPr>
        <w:spacing w:after="0" w:line="16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Pre-Closing Tax Dividends</w:t>
      </w:r>
      <w:r>
        <w:rPr>
          <w:rFonts w:ascii="Times New Roman" w:cs="Times New Roman" w:eastAsia="Times New Roman" w:hAnsi="Times New Roman"/>
          <w:sz w:val="16"/>
          <w:szCs w:val="16"/>
          <w:color w:val="auto"/>
        </w:rPr>
        <w:t>.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 of Merger</w:t>
      </w:r>
      <w:r>
        <w:rPr>
          <w:rFonts w:ascii="Times New Roman" w:cs="Times New Roman" w:eastAsia="Times New Roman" w:hAnsi="Times New Roman"/>
          <w:sz w:val="16"/>
          <w:szCs w:val="16"/>
          <w:color w:val="auto"/>
        </w:rPr>
        <w:t>.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Opinions</w:t>
      </w:r>
      <w:r>
        <w:rPr>
          <w:rFonts w:ascii="Times New Roman" w:cs="Times New Roman" w:eastAsia="Times New Roman" w:hAnsi="Times New Roman"/>
          <w:sz w:val="16"/>
          <w:szCs w:val="16"/>
          <w:color w:val="auto"/>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 w:cs="Times New Roman" w:eastAsia="Times New Roman" w:hAnsi="Times New Roman"/>
          <w:sz w:val="16"/>
          <w:szCs w:val="16"/>
          <w:u w:val="single" w:color="auto"/>
          <w:color w:val="auto"/>
        </w:rPr>
        <w:t>Section 7.12(a)</w:t>
      </w:r>
      <w:r>
        <w:rPr>
          <w:rFonts w:ascii="Times New Roman" w:cs="Times New Roman" w:eastAsia="Times New Roman" w:hAnsi="Times New Roman"/>
          <w:sz w:val="16"/>
          <w:szCs w:val="16"/>
          <w:color w:val="auto"/>
        </w:rPr>
        <w:t>, providing any information reasonably requested by 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1" w:name="page72"/>
    <w:bookmarkEnd w:id="71"/>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7.15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The parties hereto acknowledge and agree that, except for the representations and warranties of the Company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representations and warranties of Acquiror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representations and warranties of Advisers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none of Advisers, Acquiror, the Company or any of Acquiror’s or the Company’s respective Consolidated Subsidiaries or any other Person acting on behalf of the foregoing makes any representation or warranty, express or implied.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7.16 </w:t>
      </w:r>
      <w:r>
        <w:rPr>
          <w:rFonts w:ascii="Times New Roman" w:cs="Times New Roman" w:eastAsia="Times New Roman" w:hAnsi="Times New Roman"/>
          <w:sz w:val="16"/>
          <w:szCs w:val="16"/>
          <w:u w:val="single" w:color="auto"/>
          <w:color w:val="auto"/>
        </w:rPr>
        <w:t>Coordination of Dividends</w:t>
      </w:r>
      <w:r>
        <w:rPr>
          <w:rFonts w:ascii="Times New Roman" w:cs="Times New Roman" w:eastAsia="Times New Roman" w:hAnsi="Times New Roman"/>
          <w:sz w:val="16"/>
          <w:szCs w:val="16"/>
          <w:color w:val="auto"/>
        </w:rPr>
        <w:t>.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7.17 </w:t>
      </w:r>
      <w:r>
        <w:rPr>
          <w:rFonts w:ascii="Times New Roman" w:cs="Times New Roman" w:eastAsia="Times New Roman" w:hAnsi="Times New Roman"/>
          <w:sz w:val="16"/>
          <w:szCs w:val="16"/>
          <w:u w:val="single" w:color="auto"/>
          <w:color w:val="auto"/>
        </w:rPr>
        <w:t>Share Repurchase Program</w:t>
      </w:r>
      <w:r>
        <w:rPr>
          <w:rFonts w:ascii="Times New Roman" w:cs="Times New Roman" w:eastAsia="Times New Roman" w:hAnsi="Times New Roman"/>
          <w:sz w:val="16"/>
          <w:szCs w:val="16"/>
          <w:color w:val="auto"/>
        </w:rPr>
        <w:t>.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Conditions to Each Party’s Obligations to Effect the Merger</w:t>
      </w:r>
      <w:r>
        <w:rPr>
          <w:rFonts w:ascii="Times New Roman" w:cs="Times New Roman" w:eastAsia="Times New Roman" w:hAnsi="Times New Roman"/>
          <w:sz w:val="16"/>
          <w:szCs w:val="16"/>
          <w:color w:val="auto"/>
        </w:rPr>
        <w:t xml:space="preserve">. The respective obligations of the parties to effect the Merger shall be subject to the satisfaction or, other than with respect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which shall not be waived by any party hereto, waiver, at or prior to the Merger Effective Time, of the following conditions:</w:t>
      </w:r>
    </w:p>
    <w:p>
      <w:pPr>
        <w:spacing w:after="0" w:line="144" w:lineRule="exact"/>
        <w:rPr>
          <w:sz w:val="20"/>
          <w:szCs w:val="20"/>
          <w:color w:val="auto"/>
        </w:rPr>
      </w:pPr>
    </w:p>
    <w:p>
      <w:pPr>
        <w:ind w:firstLine="1143"/>
        <w:spacing w:after="0" w:line="280" w:lineRule="auto"/>
        <w:tabs>
          <w:tab w:leader="none" w:pos="136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Approvals; Post-BDC Election Approvals</w:t>
      </w:r>
      <w:r>
        <w:rPr>
          <w:rFonts w:ascii="Times New Roman" w:cs="Times New Roman" w:eastAsia="Times New Roman" w:hAnsi="Times New Roman"/>
          <w:sz w:val="16"/>
          <w:szCs w:val="16"/>
          <w:color w:val="auto"/>
        </w:rPr>
        <w:t>. (i) The Acquiror Requisite Vote shall have been obtained, (ii) the Company Requisite Vote shall have been obtained at the Company Stockholders Meeting and (iii) the required Post-BDC Election Approvals shall have been obtained from the Company Board.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shares of Acquiror Common Stock to be issued under this Agreement in connection with the Merger shall have been authorized for listing on the NASDAQ, subject to official notice of issuance.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 Illegality</w:t>
      </w:r>
      <w:r>
        <w:rPr>
          <w:rFonts w:ascii="Times New Roman" w:cs="Times New Roman" w:eastAsia="Times New Roman" w:hAnsi="Times New Roman"/>
          <w:sz w:val="16"/>
          <w:szCs w:val="16"/>
          <w:color w:val="auto"/>
        </w:rPr>
        <w:t>. No Order issued by any court or agency of competent jurisdiction or other Law preventing, enjoining, restraining or making illegal the consummation of the Merger or any of the other Transactions shall be in effect.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and Other Approvals</w:t>
      </w:r>
      <w:r>
        <w:rPr>
          <w:rFonts w:ascii="Times New Roman" w:cs="Times New Roman" w:eastAsia="Times New Roman" w:hAnsi="Times New Roman"/>
          <w:sz w:val="16"/>
          <w:szCs w:val="16"/>
          <w:color w:val="auto"/>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Acquiror Disclosure Schedule and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Company Disclosure Schedule, if any, shall have been obtained and shall remain in full force and effect.</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4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Net Asset Value Determinations</w:t>
      </w:r>
      <w:r>
        <w:rPr>
          <w:rFonts w:ascii="Times New Roman" w:cs="Times New Roman" w:eastAsia="Times New Roman" w:hAnsi="Times New Roman"/>
          <w:sz w:val="16"/>
          <w:szCs w:val="16"/>
          <w:color w:val="auto"/>
        </w:rPr>
        <w:t xml:space="preserve">. The determination of both the Closing Acquiror Net Asset Value and the Closing Company Net Asset Value shall have been completed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The creditors under the Existing Company Credit Facility and the Company Notes shall have either agreed to the assumption by the Acquiror of the indebtedness evidenced thereby or such indebtedness shall have been repaid prior to Closing.</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4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Following receipt of the Company Requisite Vote at the Company Stockholders Meeting with respect to the BDC Election Matters, the Company shall have made the BDC Election in accordance with applicable Law.</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Support Agreements</w:t>
      </w:r>
      <w:r>
        <w:rPr>
          <w:rFonts w:ascii="Times New Roman" w:cs="Times New Roman" w:eastAsia="Times New Roman" w:hAnsi="Times New Roman"/>
          <w:sz w:val="16"/>
          <w:szCs w:val="16"/>
          <w:color w:val="auto"/>
        </w:rPr>
        <w:t>. Each of the Support Agreements shall have remained in full force and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left="56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Conditions to Obligations of Acquiror to Effect the Merger</w:t>
      </w:r>
      <w:r>
        <w:rPr>
          <w:rFonts w:ascii="Times New Roman" w:cs="Times New Roman" w:eastAsia="Times New Roman" w:hAnsi="Times New Roman"/>
          <w:sz w:val="16"/>
          <w:szCs w:val="16"/>
          <w:color w:val="auto"/>
        </w:rPr>
        <w:t>. The obligations of Acquiror to effect the Merger are also subject to the satisfaction or waiver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at or prior to the Merger Effective Time, of the following conditions:</w:t>
      </w:r>
    </w:p>
    <w:p>
      <w:pPr>
        <w:spacing w:after="0" w:line="182" w:lineRule="exact"/>
        <w:rPr>
          <w:sz w:val="20"/>
          <w:szCs w:val="20"/>
          <w:color w:val="auto"/>
        </w:rPr>
      </w:pPr>
    </w:p>
    <w:p>
      <w:pPr>
        <w:jc w:val="both"/>
        <w:ind w:firstLine="1143"/>
        <w:spacing w:after="0" w:line="251"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xml:space="preserve">. (i) The representations and warranties of the Company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shall be true and correct in all respects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6"/>
          <w:szCs w:val="16"/>
          <w:u w:val="single" w:color="auto"/>
          <w:color w:val="auto"/>
        </w:rPr>
        <w:t>Section 3.8(b)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16"/>
          <w:szCs w:val="16"/>
          <w:u w:val="single" w:color="auto"/>
          <w:color w:val="auto"/>
        </w:rPr>
        <w:t>Sections 3.3(a)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3.21</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8.2(a)(iv)</w:t>
      </w:r>
      <w:r>
        <w:rPr>
          <w:rFonts w:ascii="Times New Roman" w:cs="Times New Roman" w:eastAsia="Times New Roman" w:hAnsi="Times New Roman"/>
          <w:sz w:val="16"/>
          <w:szCs w:val="16"/>
          <w:color w:val="auto"/>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have been satisfied.</w:t>
      </w:r>
    </w:p>
    <w:p>
      <w:pPr>
        <w:spacing w:after="0" w:line="170"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 Manager</w:t>
      </w:r>
      <w:r>
        <w:rPr>
          <w:rFonts w:ascii="Times New Roman" w:cs="Times New Roman" w:eastAsia="Times New Roman" w:hAnsi="Times New Roman"/>
          <w:sz w:val="16"/>
          <w:szCs w:val="16"/>
          <w:color w:val="auto"/>
        </w:rPr>
        <w:t xml:space="preserve">. The representations and warranties of the Company Manager set forth in Article V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have been satisfied.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left="4" w:firstLine="1143"/>
        <w:spacing w:after="0" w:line="265" w:lineRule="auto"/>
        <w:tabs>
          <w:tab w:leader="none" w:pos="13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Company</w:t>
      </w:r>
      <w:r>
        <w:rPr>
          <w:rFonts w:ascii="Times New Roman" w:cs="Times New Roman" w:eastAsia="Times New Roman" w:hAnsi="Times New Roman"/>
          <w:sz w:val="16"/>
          <w:szCs w:val="16"/>
          <w:color w:val="auto"/>
        </w:rPr>
        <w:t>.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w:t>
      </w:r>
    </w:p>
    <w:p>
      <w:pPr>
        <w:spacing w:after="0" w:line="15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the Company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6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5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w:t>
      </w:r>
    </w:p>
    <w:p>
      <w:pPr>
        <w:spacing w:after="0" w:line="165"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Conditions to Obligations of the Company to Effect the Merger</w:t>
      </w:r>
      <w:r>
        <w:rPr>
          <w:rFonts w:ascii="Times New Roman" w:cs="Times New Roman" w:eastAsia="Times New Roman" w:hAnsi="Times New Roman"/>
          <w:sz w:val="16"/>
          <w:szCs w:val="16"/>
          <w:color w:val="auto"/>
        </w:rPr>
        <w:t>. The obligation of the Company to effect the Merger is also subject to the satisfaction or waiver by the Company, at or prior to the Merger Effective Time, of the following conditions:</w:t>
      </w:r>
    </w:p>
    <w:p>
      <w:pPr>
        <w:spacing w:after="0" w:line="144" w:lineRule="exact"/>
        <w:rPr>
          <w:sz w:val="20"/>
          <w:szCs w:val="20"/>
          <w:color w:val="auto"/>
        </w:rPr>
      </w:pPr>
    </w:p>
    <w:p>
      <w:pPr>
        <w:jc w:val="both"/>
        <w:ind w:left="4" w:right="20" w:firstLine="1143"/>
        <w:spacing w:after="0" w:line="273" w:lineRule="auto"/>
        <w:tabs>
          <w:tab w:leader="none" w:pos="13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Acquiror</w:t>
      </w:r>
      <w:r>
        <w:rPr>
          <w:rFonts w:ascii="Times New Roman" w:cs="Times New Roman" w:eastAsia="Times New Roman" w:hAnsi="Times New Roman"/>
          <w:sz w:val="15"/>
          <w:szCs w:val="15"/>
          <w:color w:val="auto"/>
        </w:rPr>
        <w:t xml:space="preserve">. (i) The representations and warranties of Acquiror set forth in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shall be true and correct in all respects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4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Acquiror set forth in </w:t>
      </w:r>
      <w:r>
        <w:rPr>
          <w:rFonts w:ascii="Times New Roman" w:cs="Times New Roman" w:eastAsia="Times New Roman" w:hAnsi="Times New Roman"/>
          <w:sz w:val="16"/>
          <w:szCs w:val="16"/>
          <w:u w:val="single" w:color="auto"/>
          <w:color w:val="auto"/>
        </w:rPr>
        <w:t>Section 4.8(b)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 w:cs="Times New Roman" w:eastAsia="Times New Roman" w:hAnsi="Times New Roman"/>
          <w:sz w:val="16"/>
          <w:szCs w:val="16"/>
          <w:u w:val="single" w:color="auto"/>
          <w:color w:val="auto"/>
        </w:rPr>
        <w:t>Sections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4.3(b)(i)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8.3(a)(iv)</w:t>
      </w:r>
      <w:r>
        <w:rPr>
          <w:rFonts w:ascii="Times New Roman" w:cs="Times New Roman" w:eastAsia="Times New Roman" w:hAnsi="Times New Roman"/>
          <w:sz w:val="16"/>
          <w:szCs w:val="16"/>
          <w:color w:val="auto"/>
        </w:rPr>
        <w:t xml:space="preserve"> shall be deemed to 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have been satisfied.</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5" w:name="page76"/>
    <w:bookmarkEnd w:id="75"/>
    <w:p>
      <w:pPr>
        <w:jc w:val="both"/>
        <w:ind w:firstLine="1143"/>
        <w:spacing w:after="0" w:line="253" w:lineRule="auto"/>
        <w:tabs>
          <w:tab w:leader="none" w:pos="137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Acquiror Adviser</w:t>
      </w:r>
      <w:r>
        <w:rPr>
          <w:rFonts w:ascii="Times New Roman" w:cs="Times New Roman" w:eastAsia="Times New Roman" w:hAnsi="Times New Roman"/>
          <w:sz w:val="16"/>
          <w:szCs w:val="16"/>
          <w:color w:val="auto"/>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have been satisfied.</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Acquiror</w:t>
      </w:r>
      <w:r>
        <w:rPr>
          <w:rFonts w:ascii="Times New Roman" w:cs="Times New Roman" w:eastAsia="Times New Roman" w:hAnsi="Times New Roman"/>
          <w:sz w:val="16"/>
          <w:szCs w:val="16"/>
          <w:color w:val="auto"/>
        </w:rPr>
        <w:t>.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Acquiror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Acquiror.</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 None of the Company or Acquiror may rely on the failure of any condition set forth in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 AND AMENDMENT</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at any time prior to the Merger Effective Time, whether before or after the Acquiror Requisite Vote has been obtained or Company Requisite Vote has been obtained:</w:t>
      </w:r>
    </w:p>
    <w:p>
      <w:pPr>
        <w:spacing w:after="0" w:line="144" w:lineRule="exact"/>
        <w:rPr>
          <w:sz w:val="20"/>
          <w:szCs w:val="20"/>
          <w:color w:val="auto"/>
        </w:rPr>
      </w:pPr>
    </w:p>
    <w:p>
      <w:pPr>
        <w:ind w:right="20" w:firstLine="1143"/>
        <w:spacing w:after="0" w:line="280" w:lineRule="auto"/>
        <w:tabs>
          <w:tab w:leader="none" w:pos="138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consent of Acquiror and the Company in a written instrument authorized by each of the Acquiror Board (on the recommendation of the Acquiror Special Committee) and the Company Board (on the recommendation of Company Special Committee);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Acquiror or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2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6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shall not have been consummated on or before June 30, 2027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9.1(b)(ii)</w:t>
      </w:r>
      <w:r>
        <w:rPr>
          <w:rFonts w:ascii="Times New Roman" w:cs="Times New Roman" w:eastAsia="Times New Roman" w:hAnsi="Times New Roman"/>
          <w:sz w:val="16"/>
          <w:szCs w:val="16"/>
          <w:color w:val="auto"/>
        </w:rPr>
        <w:t xml:space="preserve"> shall not be available to any party whose failure to fulfill in any material respect any of its obligations under this Agreement has been the cause of, or resulted in, the event giving rise to the failure to close prior to the Termination Date;</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12"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Acquiror shall have failed to approve the Acquiror Matters by the Acquiror Requisite Vote at a duly held meeting of Acquiror’s stockholders or at any adjournment or postponement thereof at which the Acquiror Stock Issuance has been voted upon; or</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95"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w:t>
      </w:r>
    </w:p>
    <w:p>
      <w:pPr>
        <w:spacing w:after="0" w:line="1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shall not be available to any party that has breached in any material respect its obligations under this Agreement in any manner that has been the principal cause of or resulted in the failure to consummate the Transactions;</w:t>
      </w:r>
    </w:p>
    <w:p>
      <w:pPr>
        <w:spacing w:after="0" w:line="144" w:lineRule="exact"/>
        <w:rPr>
          <w:sz w:val="20"/>
          <w:szCs w:val="20"/>
          <w:color w:val="auto"/>
        </w:rPr>
      </w:pPr>
    </w:p>
    <w:p>
      <w:pPr>
        <w:ind w:left="1360" w:hanging="217"/>
        <w:spacing w:after="0"/>
        <w:tabs>
          <w:tab w:leader="none" w:pos="13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89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8.3(c)</w:t>
      </w:r>
      <w:r>
        <w:rPr>
          <w:rFonts w:ascii="Times New Roman" w:cs="Times New Roman" w:eastAsia="Times New Roman" w:hAnsi="Times New Roman"/>
          <w:sz w:val="16"/>
          <w:szCs w:val="16"/>
          <w:color w:val="auto"/>
        </w:rPr>
        <w:t xml:space="preserve"> not to be satisfied);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7" w:name="page78"/>
    <w:bookmarkEnd w:id="77"/>
    <w:p>
      <w:pPr>
        <w:ind w:left="1960" w:hanging="244"/>
        <w:spacing w:after="0"/>
        <w:tabs>
          <w:tab w:leader="none" w:pos="1960" w:val="left"/>
        </w:tabs>
        <w:numPr>
          <w:ilvl w:val="2"/>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obtaining the Acquiror Requisite Vote (A) an Acquiror Adverse Recommendation Change and/or Takeover Approval shall have occurred,</w:t>
      </w:r>
    </w:p>
    <w:p>
      <w:pPr>
        <w:spacing w:after="0" w:line="35" w:lineRule="exact"/>
        <w:rPr>
          <w:rFonts w:ascii="Times New Roman" w:cs="Times New Roman" w:eastAsia="Times New Roman" w:hAnsi="Times New Roman"/>
          <w:sz w:val="15"/>
          <w:szCs w:val="15"/>
          <w:color w:val="auto"/>
        </w:rPr>
      </w:pPr>
    </w:p>
    <w:p>
      <w:pPr>
        <w:jc w:val="both"/>
        <w:ind w:left="560" w:firstLine="9"/>
        <w:spacing w:after="0" w:line="266" w:lineRule="auto"/>
        <w:tabs>
          <w:tab w:leader="none" w:pos="80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w:t>
      </w:r>
    </w:p>
    <w:p>
      <w:pPr>
        <w:jc w:val="both"/>
        <w:ind w:left="560" w:right="20" w:firstLine="9"/>
        <w:spacing w:after="0" w:line="254" w:lineRule="auto"/>
        <w:tabs>
          <w:tab w:leader="none" w:pos="82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w:t>
      </w:r>
    </w:p>
    <w:p>
      <w:pPr>
        <w:spacing w:after="0" w:line="163"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Acquiror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Section 7‎.7;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78"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the Company enters into, a definitive Contract with respect to a Company Superior Proposal.</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Acquiror, if:</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899" w:val="left"/>
        </w:tabs>
        <w:numPr>
          <w:ilvl w:val="2"/>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8.2(c)</w:t>
      </w:r>
      <w:r>
        <w:rPr>
          <w:rFonts w:ascii="Times New Roman" w:cs="Times New Roman" w:eastAsia="Times New Roman" w:hAnsi="Times New Roman"/>
          <w:sz w:val="16"/>
          <w:szCs w:val="16"/>
          <w:color w:val="auto"/>
        </w:rPr>
        <w:t xml:space="preserve"> not to be satisfied);</w:t>
      </w:r>
    </w:p>
    <w:p>
      <w:pPr>
        <w:spacing w:after="0" w:line="162"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2"/>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obtaining Company Requisite Vote (A) a Company Adverse Recommendation Change and/or Takeover Approval shall have occurred,</w:t>
      </w:r>
    </w:p>
    <w:p>
      <w:pPr>
        <w:spacing w:after="0" w:line="23" w:lineRule="exact"/>
        <w:rPr>
          <w:rFonts w:ascii="Times New Roman" w:cs="Times New Roman" w:eastAsia="Times New Roman" w:hAnsi="Times New Roman"/>
          <w:sz w:val="16"/>
          <w:szCs w:val="16"/>
          <w:color w:val="auto"/>
        </w:rPr>
      </w:pPr>
    </w:p>
    <w:p>
      <w:pPr>
        <w:jc w:val="both"/>
        <w:ind w:left="560" w:firstLine="9"/>
        <w:spacing w:after="0" w:line="251" w:lineRule="auto"/>
        <w:tabs>
          <w:tab w:leader="none" w:pos="831"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failed to include in the Joint Proxy Statement/Prospectus the Company Board Recommendation, (C) a Takeover Proposal is publicly announced and the Company fails to issue, within 10 Business Days after such Takeover Proposal is 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w:t>
      </w:r>
    </w:p>
    <w:p>
      <w:pPr>
        <w:spacing w:after="0" w:line="16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82"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Acquiror enters into, a definitive Contract with respect to an Acquiror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-3069590</wp:posOffset>
            </wp:positionV>
            <wp:extent cx="4546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135"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give written notice of such termination to the other party in accordance with </w:t>
      </w:r>
      <w:r>
        <w:rPr>
          <w:rFonts w:ascii="Times New Roman" w:cs="Times New Roman" w:eastAsia="Times New Roman" w:hAnsi="Times New Roman"/>
          <w:sz w:val="16"/>
          <w:szCs w:val="16"/>
          <w:u w:val="single" w:color="auto"/>
          <w:color w:val="auto"/>
        </w:rPr>
        <w:t>Section 11.2</w:t>
      </w:r>
      <w:r>
        <w:rPr>
          <w:rFonts w:ascii="Times New Roman" w:cs="Times New Roman" w:eastAsia="Times New Roman" w:hAnsi="Times New Roman"/>
          <w:sz w:val="16"/>
          <w:szCs w:val="16"/>
          <w:color w:val="auto"/>
        </w:rPr>
        <w:t>, specifying the provision or provisions hereof pursuant to which such termination is effected.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8" w:name="page79"/>
    <w:bookmarkEnd w:id="78"/>
    <w:p>
      <w:pPr>
        <w:ind w:left="560"/>
        <w:spacing w:after="0"/>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 In the event of termination of this Agreement by either Acquiror or the Company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16"/>
          <w:szCs w:val="16"/>
          <w:u w:val="single" w:color="auto"/>
          <w:color w:val="auto"/>
        </w:rPr>
        <w:t>Section 7.9(b)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(including, in each case, any applicable definitions) shall survive any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costs and expenses of printing and mailing the Registration Statement and all filing and other fees paid to the SEC in connection with the Merger which shall be borne in accordance with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This Agreement may be amended by the parties, by action taken or authorized by their respective Boards of Directors, at any time before or after Company Requisite Vote has been obtained or the Acquiror Requisite Vote has been obtained;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(ii) the execution of such amendment shall not require the Company Manager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by or on behalf of the Acquiror or the Company under or with respect to this Agreement without first obtaining the approval of the Acquiror Special Committee or the Company Special Committee, as applicable.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Extension; Waiver</w:t>
      </w:r>
      <w:r>
        <w:rPr>
          <w:rFonts w:ascii="Times New Roman" w:cs="Times New Roman" w:eastAsia="Times New Roman" w:hAnsi="Times New Roman"/>
          <w:sz w:val="16"/>
          <w:szCs w:val="16"/>
          <w:color w:val="auto"/>
        </w:rPr>
        <w:t>.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Matters</w:t>
      </w:r>
      <w:r>
        <w:rPr>
          <w:rFonts w:ascii="Times New Roman" w:cs="Times New Roman" w:eastAsia="Times New Roman" w:hAnsi="Times New Roman"/>
          <w:sz w:val="16"/>
          <w:szCs w:val="16"/>
          <w:color w:val="auto"/>
        </w:rPr>
        <w:t>” means (i) the Acquiror Stock Issuance; (ii) this Agreement, including the Merger and the other Transactions contemplated hereby, and (iii) any other matters required to be approved or adopted by the stockholders of the Acquiror in order to effect the Transactions.</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or Sunday or a day on which banks are required or authorized to close in The City of New York.</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Incentive Plan</w:t>
      </w:r>
      <w:r>
        <w:rPr>
          <w:rFonts w:ascii="Times New Roman" w:cs="Times New Roman" w:eastAsia="Times New Roman" w:hAnsi="Times New Roman"/>
          <w:sz w:val="16"/>
          <w:szCs w:val="16"/>
          <w:color w:val="auto"/>
        </w:rPr>
        <w:t>” means The Chicago Atlantic Real Estate Finance, Inc. 2021 Omnibus Incentive Plan, as may be amended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Management Agreement</w:t>
      </w:r>
      <w:r>
        <w:rPr>
          <w:rFonts w:ascii="Times New Roman" w:cs="Times New Roman" w:eastAsia="Times New Roman" w:hAnsi="Times New Roman"/>
          <w:sz w:val="16"/>
          <w:szCs w:val="16"/>
          <w:color w:val="auto"/>
        </w:rPr>
        <w:t>” means the management agreement between the Company and the Company Manager in effect as of the date of this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means the senior notes issued and outstanding pursuant to that certain Loan Agreement, dated as of October 18, 2024, among the Company and the financial institutions party thereto, as Lenders.</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Shares</w:t>
      </w:r>
      <w:r>
        <w:rPr>
          <w:rFonts w:ascii="Times New Roman" w:cs="Times New Roman" w:eastAsia="Times New Roman" w:hAnsi="Times New Roman"/>
          <w:sz w:val="16"/>
          <w:szCs w:val="16"/>
          <w:color w:val="auto"/>
        </w:rPr>
        <w:t>” means the shares of Restricted Stock issued pursuant to the Company Incentive Plan.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Subsidiary</w:t>
      </w:r>
      <w:r>
        <w:rPr>
          <w:rFonts w:ascii="Times New Roman" w:cs="Times New Roman" w:eastAsia="Times New Roman" w:hAnsi="Times New Roman"/>
          <w:sz w:val="16"/>
          <w:szCs w:val="16"/>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EDGAR</w:t>
      </w:r>
      <w:r>
        <w:rPr>
          <w:rFonts w:ascii="Times New Roman" w:cs="Times New Roman" w:eastAsia="Times New Roman" w:hAnsi="Times New Roman"/>
          <w:sz w:val="16"/>
          <w:szCs w:val="16"/>
          <w:color w:val="auto"/>
        </w:rPr>
        <w:t>” means the SEC’s Electronic Data Gathering Analysis and Retrieval System.</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applicable Laws regulating, relating to or imposing liability or standards of conduct concerning the use, storage, handling, disposal or release of any Hazardous Substance, as in effect on the date of this Agreement.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promulgated thereunder.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xml:space="preserve">” means the ratio of the Closing Company Net Asset Value to the Closing Acquiror Net Asset Value, rounded to the nearest four decimal places, in each case as determined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subject to adjustment in the manner set forth in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Acquiror Credit Facility</w:t>
      </w:r>
      <w:r>
        <w:rPr>
          <w:rFonts w:ascii="Times New Roman" w:cs="Times New Roman" w:eastAsia="Times New Roman" w:hAnsi="Times New Roman"/>
          <w:sz w:val="16"/>
          <w:szCs w:val="16"/>
          <w:color w:val="auto"/>
        </w:rPr>
        <w:t>” means that certain Senior Secured Revolving Credit Agreement dated as of February 11, 2025, among Acquiror, the Lenders and Issuing Banks party from time to time hereto, and Western Alliance Trust Company, N.A., as Administrative Agent.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Company Credit Facility</w:t>
      </w:r>
      <w:r>
        <w:rPr>
          <w:rFonts w:ascii="Times New Roman" w:cs="Times New Roman" w:eastAsia="Times New Roman" w:hAnsi="Times New Roman"/>
          <w:sz w:val="16"/>
          <w:szCs w:val="16"/>
          <w:color w:val="auto"/>
        </w:rPr>
        <w:t>”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to the extent presently listed, defined, designated or classified as hazardous, toxic or radioactive under any applicable Environmental Law.</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Director</w:t>
      </w:r>
      <w:r>
        <w:rPr>
          <w:rFonts w:ascii="Times New Roman" w:cs="Times New Roman" w:eastAsia="Times New Roman" w:hAnsi="Times New Roman"/>
          <w:sz w:val="16"/>
          <w:szCs w:val="16"/>
          <w:color w:val="auto"/>
        </w:rPr>
        <w:t>” means, with respect to the Company or Acquiror, each director who is not an “interested person” of the Company or Acquiror, as the case may be, as defined in the Investment Company Act.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Advisers Act</w:t>
      </w:r>
      <w:r>
        <w:rPr>
          <w:rFonts w:ascii="Times New Roman" w:cs="Times New Roman" w:eastAsia="Times New Roman" w:hAnsi="Times New Roman"/>
          <w:sz w:val="16"/>
          <w:szCs w:val="16"/>
          <w:color w:val="auto"/>
        </w:rPr>
        <w:t>” means the Investment Advisers Act of 1940, as amended, and the rules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means the Investment Company Act of 1940, as amended, and the rules promulgated thereunder.</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all security interests, liens, claims, pledges, easements, mortgages, rights of first offer or refusal or other encumbrances.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with respect to the Company or Acquiror, as the case may be, any event, development, change, effect or occurrence (each, an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writ, injunction, judgment, order or decree entered, issued, made or rendered by any Governmental Entity.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any license, permit, variance, exemption, approval, qualification, or Order of any Governmental Entity.</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Indebtedness</w:t>
      </w:r>
      <w:r>
        <w:rPr>
          <w:rFonts w:ascii="Times New Roman" w:cs="Times New Roman" w:eastAsia="Times New Roman" w:hAnsi="Times New Roman"/>
          <w:sz w:val="16"/>
          <w:szCs w:val="16"/>
          <w:color w:val="auto"/>
        </w:rPr>
        <w:t>”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(general or limited) partnership, a corporation, a limited liability company, an association, a trust, a joint venture, a Governmental Entity or other legal entity or organization.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means those approvals required to be made by the Company Board (upon recommendation of the Company Special Committee) pursuant to Rule 17a-8 of the Investment Company Act.</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Previously Disclosed</w:t>
      </w:r>
      <w:r>
        <w:rPr>
          <w:rFonts w:ascii="Times New Roman" w:cs="Times New Roman" w:eastAsia="Times New Roman" w:hAnsi="Times New Roman"/>
          <w:sz w:val="16"/>
          <w:szCs w:val="16"/>
          <w:color w:val="auto"/>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suit, arbitration, investigation, examination, litigation, lawsuit or other proceeding, whether civil, criminal or administrative.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4" w:name="page85"/>
    <w:bookmarkEnd w:id="84"/>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means all applications and notices with, and receipt of consents, authorizations, approvals, exemptions or nonobjections from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promulgated thereunder.</w:t>
      </w:r>
    </w:p>
    <w:p>
      <w:pPr>
        <w:spacing w:after="0" w:line="19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w:t>
      </w:r>
    </w:p>
    <w:p>
      <w:pPr>
        <w:spacing w:after="0" w:line="169" w:lineRule="exact"/>
        <w:rPr>
          <w:sz w:val="20"/>
          <w:szCs w:val="20"/>
          <w:color w:val="auto"/>
        </w:rPr>
      </w:pPr>
    </w:p>
    <w:p>
      <w:pPr>
        <w:jc w:val="both"/>
        <w:ind w:right="20" w:firstLine="574"/>
        <w:spacing w:after="0" w:line="31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w:t>
      </w:r>
    </w:p>
    <w:p>
      <w:pPr>
        <w:spacing w:after="0" w:line="121"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Dividend</w:t>
      </w:r>
      <w:r>
        <w:rPr>
          <w:rFonts w:ascii="Times New Roman" w:cs="Times New Roman" w:eastAsia="Times New Roman" w:hAnsi="Times New Roman"/>
          <w:sz w:val="16"/>
          <w:szCs w:val="16"/>
          <w:color w:val="auto"/>
        </w:rPr>
        <w:t>”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 day on which shares of Acquiror Common Stock are traded on the NASDAQ.</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including the Merger.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all final and temporary federal income tax regulations, as amended from time to time, issued under the Code by the United States Treasury Department.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706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7"/>
              </w:rPr>
              <w:t>Table of Definitions</w:t>
            </w:r>
          </w:p>
        </w:tc>
      </w:tr>
      <w:tr>
        <w:trPr>
          <w:trHeight w:val="39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Acquiror</w:t>
            </w: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Adverse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 Recommendation</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Bylaws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Capitalization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Charter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Common Stock</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Disclosure Schedule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Insurance Policy</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Intellectual Property Rights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Notice Period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Material Contracts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‎4.14(a)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SEC Reports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‎4.5(a)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Special Committee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Statement of Assets and Liabilities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‎4.6(b)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 Issuance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Stockholders Meeting</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Transaction Expenses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Voting Debt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Applicable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Articles of Merger</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577"/>
        </w:trPr>
        <w:tc>
          <w:tcPr>
            <w:tcW w:w="4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50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Bankruptcy and Equity Exception</w:t>
            </w:r>
          </w:p>
        </w:tc>
        <w:tc>
          <w:tcPr>
            <w:tcW w:w="5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5"/>
                <w:szCs w:val="15"/>
                <w:color w:val="auto"/>
              </w:rPr>
            </w:pP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 Time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BDO</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Acquiror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Company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Code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Adverse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Manager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Balance Sheet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BDC Election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Bylaws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Capitalization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Charter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Insurance Policy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‎3.15</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Intellectual Property Rights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Notice Period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Material Contracts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‎3.14(a)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Merger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SEC Reports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Special Committee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Current D&amp;O Insurance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Determination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 Plans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GAAP</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Liabilities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Parties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601"/>
        </w:trPr>
        <w:tc>
          <w:tcPr>
            <w:tcW w:w="4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Indemnified Party</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‎7.5(a)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Company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3.11(b)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Joint Proxy Statement/Prospectus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Effective Time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MGCL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NASDAQ</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New BDC Advisory Agreement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Acquiror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Company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Paying and Exchange Agent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REIT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Representatives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‎7.6(a)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RIC</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Sarbanes-Oxley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‎3.6(f)</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SDAT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Support Agreements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Surviving Company</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Tail Period</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Approval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‎7.7(a)(ii)</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Statutes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‎3.20</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Date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‎9.1(b)(ii)</w:t>
            </w:r>
          </w:p>
        </w:tc>
      </w:tr>
      <w:tr>
        <w:trPr>
          <w:trHeight w:val="208"/>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Voting Debt</w:t>
            </w: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577"/>
        </w:trPr>
        <w:tc>
          <w:tcPr>
            <w:tcW w:w="3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Warranties and Agreements</w:t>
      </w:r>
      <w:r>
        <w:rPr>
          <w:rFonts w:ascii="Times New Roman" w:cs="Times New Roman" w:eastAsia="Times New Roman" w:hAnsi="Times New Roman"/>
          <w:sz w:val="16"/>
          <w:szCs w:val="16"/>
          <w:color w:val="auto"/>
        </w:rPr>
        <w:t xml:space="preserve">. None of the representations, warranties, covenants and agreements set forth in this Agreement or in any instrument delivered pursuant to this Agreement shall survive the Merger Effective Time, except for and subject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for those other covenants and agreements contained in this Agreement that by their express terms apply or are to be performed in whole or in part after the Merger Effective Time.</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Eversheds Sutherland (US) LLP</w:t>
      </w:r>
    </w:p>
    <w:p>
      <w:pPr>
        <w:ind w:left="1140"/>
        <w:spacing w:after="0" w:line="202" w:lineRule="auto"/>
        <w:rPr>
          <w:sz w:val="20"/>
          <w:szCs w:val="20"/>
          <w:color w:val="auto"/>
        </w:rPr>
      </w:pPr>
      <w:r>
        <w:rPr>
          <w:rFonts w:ascii="Times New Roman" w:cs="Times New Roman" w:eastAsia="Times New Roman" w:hAnsi="Times New Roman"/>
          <w:sz w:val="16"/>
          <w:szCs w:val="16"/>
          <w:color w:val="auto"/>
        </w:rPr>
        <w:t>700 6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NW,</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Washington DC 20001</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Owen Pinkerton, Esq</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owenpinkerton@eversheds-sutherland.us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Phil Silverman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psilverman@chicagoatlantic.com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9" w:name="page90"/>
    <w:bookmarkEnd w:id="89"/>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10036-4120Attention: Timothy D. Sini;</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Richard F. Langan, Jr.; Conrad R. Adkins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tsini@nixonpeabody.com; rlangan@nixonpeabody.com;</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cadkins@nixonpeabody.com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Adviser,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Company Manager,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Peter Sack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psack@chicagoatlantic.com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such notice or other communication shall be effective upon receipt (or refusal of receipt).</w:t>
      </w:r>
    </w:p>
    <w:p>
      <w:pPr>
        <w:spacing w:after="0" w:line="198" w:lineRule="exact"/>
        <w:rPr>
          <w:sz w:val="20"/>
          <w:szCs w:val="20"/>
          <w:color w:val="auto"/>
        </w:rPr>
      </w:pPr>
    </w:p>
    <w:p>
      <w:pPr>
        <w:jc w:val="both"/>
        <w:ind w:firstLine="574"/>
        <w:spacing w:after="0" w:line="270"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Interpretation; Construction</w:t>
      </w:r>
      <w:r>
        <w:rPr>
          <w:rFonts w:ascii="Times New Roman" w:cs="Times New Roman" w:eastAsia="Times New Roman" w:hAnsi="Times New Roman"/>
          <w:sz w:val="15"/>
          <w:szCs w:val="15"/>
          <w:color w:val="auto"/>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90" w:name="page91"/>
    <w:bookmarkEnd w:id="90"/>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(including the documents and the instruments referred to in this Agreement) constitutes the entire agreement and supersedes all prior agreements and understandings, both written and oral, between the parties with respect to the subject matter of this Agreement.</w:t>
      </w:r>
    </w:p>
    <w:p>
      <w:pPr>
        <w:spacing w:after="0" w:line="144"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Governing Law; Jurisdiction; Waiver of Jury Trial</w:t>
      </w:r>
      <w:r>
        <w:rPr>
          <w:rFonts w:ascii="Times New Roman" w:cs="Times New Roman" w:eastAsia="Times New Roman" w:hAnsi="Times New Roman"/>
          <w:sz w:val="16"/>
          <w:szCs w:val="16"/>
          <w:color w:val="auto"/>
        </w:rPr>
        <w:t>.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 w:cs="Times New Roman" w:eastAsia="Times New Roman" w:hAnsi="Times New Roman"/>
          <w:sz w:val="16"/>
          <w:szCs w:val="16"/>
          <w:u w:val="single" w:color="auto"/>
          <w:color w:val="auto"/>
        </w:rPr>
        <w:t>Acceptable Courts</w:t>
      </w:r>
      <w:r>
        <w:rPr>
          <w:rFonts w:ascii="Times New Roman" w:cs="Times New Roman" w:eastAsia="Times New Roman" w:hAnsi="Times New Roman"/>
          <w:sz w:val="16"/>
          <w:szCs w:val="16"/>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Assignment; Third Party Beneficiaries</w:t>
      </w:r>
      <w:r>
        <w:rPr>
          <w:rFonts w:ascii="Times New Roman" w:cs="Times New Roman" w:eastAsia="Times New Roman" w:hAnsi="Times New Roman"/>
          <w:sz w:val="16"/>
          <w:szCs w:val="16"/>
          <w:color w:val="auto"/>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this Agreement (including the documents and instruments referred to in this Agreement) is not intended to and does not confer upon any Person other than the parties hereto any rights or remedies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1" w:name="page92"/>
    <w:bookmarkEnd w:id="91"/>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67"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11.9 </w:t>
      </w:r>
      <w:r>
        <w:rPr>
          <w:rFonts w:ascii="Times New Roman" w:cs="Times New Roman" w:eastAsia="Times New Roman" w:hAnsi="Times New Roman"/>
          <w:sz w:val="16"/>
          <w:szCs w:val="16"/>
          <w:u w:val="single" w:color="auto"/>
          <w:color w:val="auto"/>
        </w:rPr>
        <w:t>Disclosure Schedule</w:t>
      </w:r>
      <w:r>
        <w:rPr>
          <w:rFonts w:ascii="Times New Roman" w:cs="Times New Roman" w:eastAsia="Times New Roman" w:hAnsi="Times New Roman"/>
          <w:sz w:val="16"/>
          <w:szCs w:val="16"/>
          <w:color w:val="auto"/>
        </w:rPr>
        <w:t>. Before entry into this Agreement, the Company, Acquiror, the Company Manager and the Acquiror Adviser each delivered to the other party a schedule (the “</w:t>
      </w:r>
      <w:r>
        <w:rPr>
          <w:rFonts w:ascii="Times New Roman" w:cs="Times New Roman" w:eastAsia="Times New Roman" w:hAnsi="Times New Roman"/>
          <w:sz w:val="16"/>
          <w:szCs w:val="16"/>
          <w:u w:val="single" w:color="auto"/>
          <w:color w:val="auto"/>
        </w:rPr>
        <w:t>Company Disclosure Schedule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Acquiror Disclosure Schedule</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u w:val="single" w:color="auto"/>
          <w:color w:val="auto"/>
        </w:rPr>
        <w:t>Company Manager Disclosure Schedule</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u w:val="single" w:color="auto"/>
          <w:color w:val="auto"/>
        </w:rPr>
        <w:t>Acquiror Adviser Disclosure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Schedule</w:t>
      </w:r>
      <w:r>
        <w:rPr>
          <w:rFonts w:ascii="Times New Roman" w:cs="Times New Roman" w:eastAsia="Times New Roman" w:hAnsi="Times New Roman"/>
          <w:sz w:val="16"/>
          <w:szCs w:val="16"/>
          <w:color w:val="auto"/>
        </w:rPr>
        <w:t>”, respectively, each, a “</w:t>
      </w:r>
      <w:r>
        <w:rPr>
          <w:rFonts w:ascii="Times New Roman" w:cs="Times New Roman" w:eastAsia="Times New Roman" w:hAnsi="Times New Roman"/>
          <w:sz w:val="16"/>
          <w:szCs w:val="16"/>
          <w:u w:val="single" w:color="auto"/>
          <w:color w:val="auto"/>
        </w:rPr>
        <w:t>Disclosure Schedule</w:t>
      </w:r>
      <w:r>
        <w:rPr>
          <w:rFonts w:ascii="Times New Roman" w:cs="Times New Roman" w:eastAsia="Times New Roman" w:hAnsi="Times New Roman"/>
          <w:sz w:val="16"/>
          <w:szCs w:val="16"/>
          <w:color w:val="auto"/>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as applicable, or to one or more covenants contained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 (iii) other sections or subsections of this Agreement to the extent it is reasonably apparent from a reading of the disclosure that such disclosure is applicable to such other sections or subsections.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2" w:name="page93"/>
    <w:bookmarkEnd w:id="92"/>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Acquiror, the Company, the Company Manager and the Acquiror Adviser have caused this Agreement to be executed by their respective officers thereunto duly authorized as of the date first above written.</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Thomas Geoffroy</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Interim 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Phil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Phil Silverman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ADVISERS,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Scott Gordon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REIT MANAGER,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Mazarakis</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Net Asset Value Calculations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Closing Acquiror Net Asset Value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Acquiror Net Asset Value, the following valuation principles, assumptions, methodologies and adjustments shall apply:</w:t>
      </w:r>
    </w:p>
    <w:p>
      <w:pPr>
        <w:spacing w:after="0" w:line="144" w:lineRule="exact"/>
        <w:rPr>
          <w:sz w:val="20"/>
          <w:szCs w:val="20"/>
          <w:color w:val="auto"/>
        </w:rPr>
      </w:pPr>
    </w:p>
    <w:p>
      <w:pPr>
        <w:jc w:val="both"/>
        <w:ind w:left="560" w:right="20" w:hanging="278"/>
        <w:spacing w:after="0" w:line="265"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Acquiror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by Acquiror but not paid as of the Merger Effective Time;</w:t>
      </w:r>
    </w:p>
    <w:p>
      <w:pPr>
        <w:spacing w:after="0" w:line="196" w:lineRule="exact"/>
        <w:rPr>
          <w:rFonts w:ascii="Times New Roman" w:cs="Times New Roman" w:eastAsia="Times New Roman" w:hAnsi="Times New Roman"/>
          <w:sz w:val="16"/>
          <w:szCs w:val="16"/>
          <w:color w:val="auto"/>
        </w:rPr>
      </w:pPr>
    </w:p>
    <w:p>
      <w:pPr>
        <w:ind w:left="1140" w:right="20" w:hanging="284"/>
        <w:spacing w:after="0" w:line="283" w:lineRule="auto"/>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the carrying value of Acquiror’s investment portfolio to fair value in accordance with FASB Topic ASC 820 </w:t>
      </w:r>
      <w:r>
        <w:rPr>
          <w:rFonts w:ascii="Times New Roman" w:cs="Times New Roman" w:eastAsia="Times New Roman" w:hAnsi="Times New Roman"/>
          <w:sz w:val="16"/>
          <w:szCs w:val="16"/>
          <w:i w:val="1"/>
          <w:iCs w:val="1"/>
          <w:color w:val="auto"/>
        </w:rPr>
        <w:t>–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Measurement </w:t>
      </w:r>
      <w:r>
        <w:rPr>
          <w:rFonts w:ascii="Times New Roman" w:cs="Times New Roman" w:eastAsia="Times New Roman" w:hAnsi="Times New Roman"/>
          <w:sz w:val="16"/>
          <w:szCs w:val="16"/>
          <w:color w:val="auto"/>
        </w:rPr>
        <w:t>(“ASC 820”) and Topic 946</w:t>
      </w:r>
      <w:r>
        <w:rPr>
          <w:rFonts w:ascii="Times New Roman" w:cs="Times New Roman" w:eastAsia="Times New Roman" w:hAnsi="Times New Roman"/>
          <w:sz w:val="16"/>
          <w:szCs w:val="16"/>
          <w:i w:val="1"/>
          <w:iCs w:val="1"/>
          <w:color w:val="auto"/>
        </w:rPr>
        <w:t xml:space="preserve"> – Investment Companies </w:t>
      </w:r>
      <w:r>
        <w:rPr>
          <w:rFonts w:ascii="Times New Roman" w:cs="Times New Roman" w:eastAsia="Times New Roman" w:hAnsi="Times New Roman"/>
          <w:sz w:val="16"/>
          <w:szCs w:val="16"/>
          <w:color w:val="auto"/>
        </w:rPr>
        <w:t>(“ASC 946”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previously adjusted as among the parties pursuant to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 adjustment shall be made to reflect the allocation of costs, fees and expenses contemplated by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decrease Closing Acquiror Net Asset Value by the aggregate amount of all Acquiror Transaction Expenses.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Acquiror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8" w:lineRule="exact"/>
        <w:rPr>
          <w:rFonts w:ascii="Times New Roman" w:cs="Times New Roman" w:eastAsia="Times New Roman" w:hAnsi="Times New Roman"/>
          <w:sz w:val="16"/>
          <w:szCs w:val="16"/>
          <w:color w:val="auto"/>
        </w:rPr>
      </w:pPr>
    </w:p>
    <w:p>
      <w:pPr>
        <w:jc w:val="both"/>
        <w:ind w:left="5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Transaction Expenses</w:t>
      </w:r>
      <w:r>
        <w:rPr>
          <w:rFonts w:ascii="Times New Roman" w:cs="Times New Roman" w:eastAsia="Times New Roman" w:hAnsi="Times New Roman"/>
          <w:sz w:val="16"/>
          <w:szCs w:val="16"/>
          <w:color w:val="auto"/>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Closing Company Net Asset Value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Company Net Asset Value, the following valuation principles, assumptions, methodologies and adjustments shall apply:</w:t>
      </w:r>
    </w:p>
    <w:p>
      <w:pPr>
        <w:spacing w:after="0" w:line="144" w:lineRule="exact"/>
        <w:rPr>
          <w:sz w:val="20"/>
          <w:szCs w:val="20"/>
          <w:color w:val="auto"/>
        </w:rPr>
      </w:pPr>
    </w:p>
    <w:p>
      <w:pPr>
        <w:jc w:val="both"/>
        <w:ind w:left="560" w:hanging="278"/>
        <w:spacing w:after="0" w:line="265"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Company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or required to be declared by the Company but not paid as of the Merger Effective Time;</w:t>
      </w:r>
    </w:p>
    <w:p>
      <w:pPr>
        <w:spacing w:after="0" w:line="198"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the carrying value of the Company’s investment portfolio to record the Company’s investment portfolio at fair value in accordance with FASB ASC 820 and ASC 946;</w:t>
      </w:r>
    </w:p>
    <w:p>
      <w:pPr>
        <w:spacing w:after="0" w:line="144" w:lineRule="exact"/>
        <w:rPr>
          <w:rFonts w:ascii="Times New Roman" w:cs="Times New Roman" w:eastAsia="Times New Roman" w:hAnsi="Times New Roman"/>
          <w:sz w:val="16"/>
          <w:szCs w:val="16"/>
          <w:color w:val="auto"/>
        </w:rPr>
      </w:pPr>
    </w:p>
    <w:p>
      <w:pPr>
        <w:jc w:val="both"/>
        <w:ind w:left="1140" w:right="20" w:hanging="284"/>
        <w:spacing w:after="0" w:line="265"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w:t>
      </w:r>
    </w:p>
    <w:p>
      <w:pPr>
        <w:spacing w:after="0" w:line="155"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 w:cs="Times New Roman" w:eastAsia="Times New Roman" w:hAnsi="Times New Roman"/>
          <w:sz w:val="16"/>
          <w:szCs w:val="16"/>
          <w:u w:val="single" w:color="auto"/>
          <w:color w:val="auto"/>
        </w:rPr>
        <w:t>Section 1.6(3)</w:t>
      </w:r>
      <w:r>
        <w:rPr>
          <w:rFonts w:ascii="Times New Roman" w:cs="Times New Roman" w:eastAsia="Times New Roman" w:hAnsi="Times New Roman"/>
          <w:sz w:val="16"/>
          <w:szCs w:val="16"/>
          <w:color w:val="auto"/>
        </w:rPr>
        <w:t xml:space="preserve"> of the Agreement; and adjustment shall be made to the Closing Company Net Asset Value; and</w:t>
      </w:r>
    </w:p>
    <w:p>
      <w:pPr>
        <w:spacing w:after="0" w:line="155" w:lineRule="exact"/>
        <w:rPr>
          <w:rFonts w:ascii="Times New Roman" w:cs="Times New Roman" w:eastAsia="Times New Roman" w:hAnsi="Times New Roman"/>
          <w:sz w:val="16"/>
          <w:szCs w:val="16"/>
          <w:color w:val="auto"/>
        </w:rPr>
      </w:pPr>
    </w:p>
    <w:p>
      <w:pPr>
        <w:jc w:val="both"/>
        <w:ind w:left="1140" w:right="20" w:hanging="284"/>
        <w:spacing w:after="0" w:line="259"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reflected under Current expected credit loss reserve and under Accounts payable and other liabilities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each from inception to the anticipated Merger Time; and</w:t>
      </w:r>
    </w:p>
    <w:p>
      <w:pPr>
        <w:spacing w:after="0" w:line="16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if appropriate, to reflect the obligations of the Company Manager under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The amount of $2,000,000 shall added to Closing Company Net Asset Value.</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Company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Principles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color w:val="auto"/>
        </w:rPr>
        <w:t>Schedule 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Directors and Officers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Peter Sack will serve as the Chief Executive Officer of the Surviving Company. The remaining officers of the Surviving Company will be determined by the parties prior to the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5"/>
          <w:szCs w:val="15"/>
          <w:color w:val="auto"/>
        </w:rPr>
        <w:t>This VOTING AND SUPPORT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[________], 2026, is entered into by and among Chicago Atlantic Real Estate Finance,</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the Company, (ii)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5"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WHEREAS, as of the date hereof, the Stockholder is the record and/or “beneficial owner” (within the meaning of Rule 13d-3 under the Exchange Act) of the number of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xml:space="preserve">”) set forth opposite the Stockholder’s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6"/>
          <w:szCs w:val="16"/>
          <w:u w:val="single" w:color="auto"/>
          <w:color w:val="auto"/>
        </w:rPr>
        <w:t>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Company hereby agree as follows:</w:t>
      </w:r>
    </w:p>
    <w:p>
      <w:pPr>
        <w:spacing w:after="0" w:line="180" w:lineRule="exact"/>
        <w:rPr>
          <w:sz w:val="20"/>
          <w:szCs w:val="20"/>
          <w:color w:val="auto"/>
        </w:rPr>
      </w:pPr>
    </w:p>
    <w:p>
      <w:pPr>
        <w:jc w:val="both"/>
        <w:ind w:left="4" w:firstLine="569"/>
        <w:spacing w:after="0" w:line="251" w:lineRule="auto"/>
        <w:tabs>
          <w:tab w:leader="none" w:pos="749" w:val="left"/>
        </w:tabs>
        <w:numPr>
          <w:ilvl w:val="1"/>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Company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Company BDC Election Matters and Company Merger Matters, and such other matters as are necessary for consummation of the Transactions), and (ii) the approval of any proposal to adjourn or postpone any meeting of stockholders of the Company to a later date if the Company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 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Company,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172" w:lineRule="exact"/>
        <w:rPr>
          <w:rFonts w:ascii="Times New Roman" w:cs="Times New Roman" w:eastAsia="Times New Roman" w:hAnsi="Times New Roman"/>
          <w:sz w:val="16"/>
          <w:szCs w:val="16"/>
          <w:b w:val="1"/>
          <w:bCs w:val="1"/>
          <w:color w:val="auto"/>
        </w:rPr>
      </w:pPr>
    </w:p>
    <w:p>
      <w:pPr>
        <w:ind w:left="724" w:hanging="151"/>
        <w:spacing w:after="0"/>
        <w:tabs>
          <w:tab w:leader="none" w:pos="724" w:val="left"/>
        </w:tabs>
        <w:numPr>
          <w:ilvl w:val="1"/>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3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97" w:name="page98"/>
    <w:bookmarkEnd w:id="97"/>
    <w:p>
      <w:pPr>
        <w:ind w:left="151" w:hanging="151"/>
        <w:spacing w:after="0"/>
        <w:tabs>
          <w:tab w:leader="none" w:pos="151"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9" w:right="20" w:firstLine="583"/>
        <w:spacing w:after="0" w:line="253" w:lineRule="auto"/>
        <w:tabs>
          <w:tab w:leader="none" w:pos="72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Company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9" w:right="20" w:firstLine="583"/>
        <w:spacing w:after="0" w:line="255"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Company to publish and disclose in all documents and schedules filed with the SEC, and any press release or other disclosure document that the Company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Company, including providing such other information regarding the Stockholder and its Affiliates reasonably requested by the Company, in connection with the filings and notifications to be made with the SEC and other Governmental Authorities in connection with the Transactions.</w:t>
      </w:r>
    </w:p>
    <w:p>
      <w:pPr>
        <w:spacing w:after="0" w:line="163" w:lineRule="exact"/>
        <w:rPr>
          <w:rFonts w:ascii="Times New Roman" w:cs="Times New Roman" w:eastAsia="Times New Roman" w:hAnsi="Times New Roman"/>
          <w:sz w:val="16"/>
          <w:szCs w:val="16"/>
          <w:color w:val="auto"/>
        </w:rPr>
      </w:pPr>
    </w:p>
    <w:p>
      <w:pPr>
        <w:ind w:left="151" w:hanging="151"/>
        <w:spacing w:after="0"/>
        <w:tabs>
          <w:tab w:leader="none" w:pos="151"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right="20" w:firstLine="583"/>
        <w:spacing w:after="0" w:line="257"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Company, or other rights to acquire shares of capital stock of the Company,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98" w:name="page99"/>
    <w:bookmarkEnd w:id="98"/>
    <w:p>
      <w:pPr>
        <w:ind w:left="560"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720" w:hanging="151"/>
        <w:spacing w:after="0"/>
        <w:tabs>
          <w:tab w:leader="none" w:pos="72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left="560" w:right="20" w:firstLine="583"/>
        <w:spacing w:after="0" w:line="274" w:lineRule="auto"/>
        <w:tabs>
          <w:tab w:leader="none" w:pos="1284"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Authority</w:t>
      </w:r>
      <w:r>
        <w:rPr>
          <w:rFonts w:ascii="Times New Roman" w:cs="Times New Roman" w:eastAsia="Times New Roman" w:hAnsi="Times New Roman"/>
          <w:sz w:val="15"/>
          <w:szCs w:val="15"/>
          <w:color w:val="auto"/>
        </w:rPr>
        <w:t>. It is a legal entity duly organized, validly existing and in good standing under the laws of the State of Maryland. It has all requisite corporate power and authority and has taken all corporate action necessary (including approval by the Company Board (acting on the recommendation of the Company Special Committee) and the Company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51" w:lineRule="exact"/>
        <w:rPr>
          <w:rFonts w:ascii="Times New Roman" w:cs="Times New Roman" w:eastAsia="Times New Roman" w:hAnsi="Times New Roman"/>
          <w:sz w:val="15"/>
          <w:szCs w:val="15"/>
          <w:color w:val="auto"/>
        </w:rPr>
      </w:pPr>
    </w:p>
    <w:p>
      <w:pPr>
        <w:jc w:val="both"/>
        <w:ind w:left="560" w:right="20" w:firstLine="583"/>
        <w:spacing w:after="0" w:line="253" w:lineRule="auto"/>
        <w:tabs>
          <w:tab w:leader="none" w:pos="1293"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7" w:lineRule="auto"/>
        <w:tabs>
          <w:tab w:leader="none" w:pos="129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160" w:lineRule="exact"/>
        <w:rPr>
          <w:rFonts w:ascii="Times New Roman" w:cs="Times New Roman" w:eastAsia="Times New Roman" w:hAnsi="Times New Roman"/>
          <w:sz w:val="16"/>
          <w:szCs w:val="16"/>
          <w:color w:val="auto"/>
        </w:rPr>
      </w:pPr>
    </w:p>
    <w:p>
      <w:pPr>
        <w:ind w:right="20" w:firstLine="569"/>
        <w:spacing w:after="0" w:line="283"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Company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“Company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Company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Company (prior to the Merger Effective Time)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Miami Beach, FL 33139</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NY 10036-4120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tsini@nixonpeabody.com; rlangan@nixonpeabody.com; cadkins@nixonpeabody.com</w:t>
      </w:r>
    </w:p>
    <w:p>
      <w:pPr>
        <w:spacing w:after="0" w:line="180" w:lineRule="exact"/>
        <w:rPr>
          <w:sz w:val="20"/>
          <w:szCs w:val="20"/>
          <w:color w:val="auto"/>
        </w:rPr>
      </w:pPr>
    </w:p>
    <w:p>
      <w:pPr>
        <w:jc w:val="both"/>
        <w:ind w:firstLine="569"/>
        <w:spacing w:after="0" w:line="254" w:lineRule="auto"/>
        <w:tabs>
          <w:tab w:leader="none" w:pos="81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0" w:name="page101"/>
    <w:bookmarkEnd w:id="100"/>
    <w:p>
      <w:pPr>
        <w:jc w:val="both"/>
        <w:ind w:firstLine="569"/>
        <w:spacing w:after="0" w:line="260"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Company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Company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6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Company,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1" w:name="page102"/>
    <w:bookmarkEnd w:id="101"/>
    <w:p>
      <w:pPr>
        <w:jc w:val="both"/>
        <w:ind w:firstLine="569"/>
        <w:spacing w:after="0" w:line="255" w:lineRule="auto"/>
        <w:tabs>
          <w:tab w:leader="none" w:pos="824"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Company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the Company Board without first obtaining the approval of the Company Special Committee, and the Company Special Committee shall direct enforcement by the Company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57"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Company Board and the Company Special Committee have approved, for purposes of any applicable anti-takeover laws and regulations, and any applicable provision of the charter or bylaws of the Company or any other similar organizational document of the Company,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duly executed and delivered on the date and year first above written.</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7620</wp:posOffset>
            </wp:positionV>
            <wp:extent cx="249682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814" w:right="8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20" w:type="dxa"/>
            <w:vAlign w:val="bottom"/>
            <w:gridSpan w:val="4"/>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40" w:type="dxa"/>
            <w:vAlign w:val="bottom"/>
          </w:tcPr>
          <w:p>
            <w:pPr>
              <w:spacing w:after="0"/>
              <w:rPr>
                <w:sz w:val="24"/>
                <w:szCs w:val="24"/>
                <w:color w:val="auto"/>
              </w:rPr>
            </w:pPr>
          </w:p>
        </w:tc>
        <w:tc>
          <w:tcPr>
            <w:tcW w:w="7120" w:type="dxa"/>
            <w:vAlign w:val="bottom"/>
            <w:gridSpan w:val="5"/>
          </w:tcPr>
          <w:p>
            <w:pPr>
              <w:jc w:val="center"/>
              <w:ind w:right="406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398"/>
        </w:trPr>
        <w:tc>
          <w:tcPr>
            <w:tcW w:w="41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Company Owned Shares</w:t>
            </w:r>
          </w:p>
        </w:tc>
      </w:tr>
      <w:tr>
        <w:trPr>
          <w:trHeight w:val="19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NAME]</w:t>
            </w: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jc w:val="right"/>
              <w:ind w:right="2320"/>
              <w:spacing w:after="0"/>
              <w:rPr>
                <w:sz w:val="20"/>
                <w:szCs w:val="20"/>
                <w:color w:val="auto"/>
              </w:rPr>
            </w:pPr>
            <w:r>
              <w:rPr>
                <w:rFonts w:ascii="Times New Roman" w:cs="Times New Roman" w:eastAsia="Times New Roman" w:hAnsi="Times New Roman"/>
                <w:sz w:val="16"/>
                <w:szCs w:val="16"/>
                <w:color w:val="auto"/>
              </w:rPr>
              <w:t>[________]</w:t>
            </w: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This VOTING AND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[________], 2026, is entered into by and among Chicago Atlantic BDC, Inc., a</w:t>
      </w:r>
    </w:p>
    <w:p>
      <w:pPr>
        <w:spacing w:after="0" w:line="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both"/>
        <w:ind w:left="4" w:right="20" w:hanging="4"/>
        <w:spacing w:after="0" w:line="251" w:lineRule="auto"/>
        <w:tabs>
          <w:tab w:leader="none" w:pos="25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8"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WHEREAS, as of the date hereof, the Stockholder is the record and/or “beneficial owner” (within the meaning of Rule 13d-3 under the Exchange Act) of the number of shares of common stock, par value $0.01 per share, of the Acquiror (the “</w:t>
      </w:r>
      <w:r>
        <w:rPr>
          <w:rFonts w:ascii="Times New Roman" w:cs="Times New Roman" w:eastAsia="Times New Roman" w:hAnsi="Times New Roman"/>
          <w:sz w:val="15"/>
          <w:szCs w:val="15"/>
          <w:u w:val="single" w:color="auto"/>
          <w:color w:val="auto"/>
        </w:rPr>
        <w:t>Acquiror Common Stock</w:t>
      </w:r>
      <w:r>
        <w:rPr>
          <w:rFonts w:ascii="Times New Roman" w:cs="Times New Roman" w:eastAsia="Times New Roman" w:hAnsi="Times New Roman"/>
          <w:sz w:val="15"/>
          <w:szCs w:val="15"/>
          <w:color w:val="auto"/>
        </w:rPr>
        <w:t xml:space="preserve">”) set forth opposite the Stockholder’s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under the heading “Owned Shares,” being all of the shares of Acquiror Common Stock owned of record or beneficially by the Stockholder as of the date hereof (the “</w:t>
      </w:r>
      <w:r>
        <w:rPr>
          <w:rFonts w:ascii="Times New Roman" w:cs="Times New Roman" w:eastAsia="Times New Roman" w:hAnsi="Times New Roman"/>
          <w:sz w:val="15"/>
          <w:szCs w:val="15"/>
          <w:u w:val="single" w:color="auto"/>
          <w:color w:val="auto"/>
        </w:rPr>
        <w:t>Owned Shares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Acquiror hereby agree as follows:</w:t>
      </w:r>
    </w:p>
    <w:p>
      <w:pPr>
        <w:spacing w:after="0" w:line="180" w:lineRule="exact"/>
        <w:rPr>
          <w:sz w:val="20"/>
          <w:szCs w:val="20"/>
          <w:color w:val="auto"/>
        </w:rPr>
      </w:pPr>
    </w:p>
    <w:p>
      <w:pPr>
        <w:jc w:val="both"/>
        <w:ind w:left="4" w:firstLine="569"/>
        <w:spacing w:after="0" w:line="252" w:lineRule="auto"/>
        <w:tabs>
          <w:tab w:leader="none" w:pos="749"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Acquiror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Acquiror Stock Issuance and such other matters as are necessary for consummation of the Transactions), and (ii) the approval of any proposal to adjourn or postpone any meeting of stockholders of the Acquiror to a later date if the Acquiror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Acquiror,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05" w:name="page106"/>
    <w:bookmarkEnd w:id="105"/>
    <w:p>
      <w:pPr>
        <w:ind w:left="724" w:hanging="151"/>
        <w:spacing w:after="0"/>
        <w:tabs>
          <w:tab w:leader="none" w:pos="724" w:val="left"/>
        </w:tabs>
        <w:numPr>
          <w:ilvl w:val="1"/>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Acquiror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Acquiror to publish and disclose in all documents and schedules filed with the SEC, and any press release or other disclosure document that the Acquiror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Acquiror, including providing such other information regarding the Stockholder and its Affiliates reasonably requested by the Acquiror, in connection with the filings and notifications to be made with the SEC and other Governmental Authorities in connection with the Transactions.</w:t>
      </w:r>
    </w:p>
    <w:p>
      <w:pPr>
        <w:spacing w:after="0" w:line="163"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Acquiror as follows:</w:t>
      </w:r>
    </w:p>
    <w:p>
      <w:pPr>
        <w:spacing w:after="0" w:line="200" w:lineRule="exact"/>
        <w:rPr>
          <w:rFonts w:ascii="Times New Roman" w:cs="Times New Roman" w:eastAsia="Times New Roman" w:hAnsi="Times New Roman"/>
          <w:sz w:val="16"/>
          <w:szCs w:val="16"/>
          <w:b w:val="1"/>
          <w:bCs w:val="1"/>
          <w:color w:val="auto"/>
        </w:rPr>
      </w:pPr>
    </w:p>
    <w:p>
      <w:pPr>
        <w:jc w:val="both"/>
        <w:ind w:left="564" w:firstLine="583"/>
        <w:spacing w:after="0" w:line="259" w:lineRule="auto"/>
        <w:tabs>
          <w:tab w:leader="none" w:pos="1288"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6" w:name="page107"/>
    <w:bookmarkEnd w:id="106"/>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7"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Acquiror, or other rights to acquire shares of capital stock of the Acquiror,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Acquiror</w:t>
      </w:r>
      <w:r>
        <w:rPr>
          <w:rFonts w:ascii="Times New Roman" w:cs="Times New Roman" w:eastAsia="Times New Roman" w:hAnsi="Times New Roman"/>
          <w:sz w:val="16"/>
          <w:szCs w:val="16"/>
          <w:color w:val="auto"/>
        </w:rPr>
        <w:t>. The Acquiror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firstLine="583"/>
        <w:spacing w:after="0" w:line="254" w:lineRule="auto"/>
        <w:tabs>
          <w:tab w:leader="none" w:pos="724"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It is a legal entity duly organized, validly existing and in good standing under the laws of the State of Maryland. It has all requisite corporate power and authority and has taken all corporate action necessary (including approval by the Acquiror Board (acting on the recommendation of the Acquiror Special Committee) and the Acquiror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66" w:lineRule="exact"/>
        <w:rPr>
          <w:rFonts w:ascii="Times New Roman" w:cs="Times New Roman" w:eastAsia="Times New Roman" w:hAnsi="Times New Roman"/>
          <w:sz w:val="16"/>
          <w:szCs w:val="16"/>
          <w:color w:val="auto"/>
        </w:rPr>
      </w:pPr>
    </w:p>
    <w:p>
      <w:pPr>
        <w:jc w:val="both"/>
        <w:ind w:right="20" w:firstLine="583"/>
        <w:spacing w:after="0" w:line="253" w:lineRule="auto"/>
        <w:tabs>
          <w:tab w:leader="none" w:pos="733"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3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07" w:name="page108"/>
    <w:bookmarkEnd w:id="107"/>
    <w:p>
      <w:pPr>
        <w:jc w:val="both"/>
        <w:ind w:left="560" w:firstLine="574"/>
        <w:spacing w:after="0" w:line="257" w:lineRule="auto"/>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160" w:lineRule="exact"/>
        <w:rPr>
          <w:sz w:val="20"/>
          <w:szCs w:val="20"/>
          <w:color w:val="auto"/>
        </w:rPr>
      </w:pPr>
    </w:p>
    <w:p>
      <w:pPr>
        <w:ind w:right="20" w:firstLine="569"/>
        <w:spacing w:after="0" w:line="283"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Acquiror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“Acquiror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Acquiror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Acquiror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[Acquiror’s Counsel]</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8" w:name="page109"/>
    <w:bookmarkEnd w:id="108"/>
    <w:p>
      <w:pPr>
        <w:jc w:val="both"/>
        <w:ind w:firstLine="569"/>
        <w:spacing w:after="0" w:line="254" w:lineRule="auto"/>
        <w:tabs>
          <w:tab w:leader="none" w:pos="81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9" w:name="page110"/>
    <w:bookmarkEnd w:id="109"/>
    <w:p>
      <w:pPr>
        <w:jc w:val="both"/>
        <w:ind w:firstLine="569"/>
        <w:spacing w:after="0" w:line="260"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Acquiror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Acquiror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6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Acquiror,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0" w:name="page111"/>
    <w:bookmarkEnd w:id="110"/>
    <w:p>
      <w:pPr>
        <w:jc w:val="both"/>
        <w:ind w:firstLine="569"/>
        <w:spacing w:after="0" w:line="255" w:lineRule="auto"/>
        <w:tabs>
          <w:tab w:leader="none" w:pos="82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Acquiror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or the Acquiror Board without first obtaining the approval of the Acquiror Special Committee, and the Acquiror Special Committee shall direct enforcement by the Acquiror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Acquiror Board and the Acquiror Special Committee have approved, for purposes of any applicable anti-takeover laws and regulations, and any applicable provision of the charter or bylaws of the Acquiror or any other similar organizational document of the Acquiror,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have caused this Agreement to be duly executed and delivered on the date and year first above written.</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7620</wp:posOffset>
            </wp:positionV>
            <wp:extent cx="24968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137795</wp:posOffset>
            </wp:positionV>
            <wp:extent cx="285305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[STOCKHOLDER NAME]</w:t>
      </w:r>
    </w:p>
    <w:p>
      <w:pPr>
        <w:spacing w:after="0" w:line="1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13970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4"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20" w:type="dxa"/>
            <w:vAlign w:val="bottom"/>
            <w:gridSpan w:val="4"/>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3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3460" w:type="dxa"/>
            <w:vAlign w:val="bottom"/>
          </w:tcPr>
          <w:p>
            <w:pPr>
              <w:spacing w:after="0"/>
              <w:rPr>
                <w:sz w:val="24"/>
                <w:szCs w:val="24"/>
                <w:color w:val="auto"/>
              </w:rPr>
            </w:pPr>
          </w:p>
        </w:tc>
        <w:tc>
          <w:tcPr>
            <w:tcW w:w="7800" w:type="dxa"/>
            <w:vAlign w:val="bottom"/>
            <w:gridSpan w:val="5"/>
          </w:tcPr>
          <w:p>
            <w:pPr>
              <w:jc w:val="center"/>
              <w:ind w:right="338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38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Acquiror Owned Shares</w:t>
            </w:r>
          </w:p>
        </w:tc>
      </w:tr>
      <w:tr>
        <w:trPr>
          <w:trHeight w:val="19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NAME]</w:t>
            </w:r>
          </w:p>
        </w:tc>
        <w:tc>
          <w:tcPr>
            <w:tcW w:w="1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jc w:val="right"/>
              <w:ind w:right="2320"/>
              <w:spacing w:after="0"/>
              <w:rPr>
                <w:sz w:val="20"/>
                <w:szCs w:val="20"/>
                <w:color w:val="auto"/>
              </w:rPr>
            </w:pPr>
            <w:r>
              <w:rPr>
                <w:rFonts w:ascii="Times New Roman" w:cs="Times New Roman" w:eastAsia="Times New Roman" w:hAnsi="Times New Roman"/>
                <w:sz w:val="16"/>
                <w:szCs w:val="16"/>
                <w:color w:val="auto"/>
              </w:rPr>
              <w:t>[________]</w:t>
            </w:r>
          </w:p>
        </w:tc>
      </w:tr>
    </w:tbl>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AND LIMITED WAIVER</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This CONSENT AND LIMITED WAIVER (this “</w:t>
      </w:r>
      <w:r>
        <w:rPr>
          <w:rFonts w:ascii="Times New Roman" w:cs="Times New Roman" w:eastAsia="Times New Roman" w:hAnsi="Times New Roman"/>
          <w:sz w:val="16"/>
          <w:szCs w:val="16"/>
          <w:u w:val="single" w:color="auto"/>
          <w:color w:val="auto"/>
        </w:rPr>
        <w:t>Consent</w:t>
      </w:r>
      <w:r>
        <w:rPr>
          <w:rFonts w:ascii="Times New Roman" w:cs="Times New Roman" w:eastAsia="Times New Roman" w:hAnsi="Times New Roman"/>
          <w:sz w:val="16"/>
          <w:szCs w:val="16"/>
          <w:color w:val="auto"/>
        </w:rPr>
        <w:t>”) is made as of June 17, 2026, by the undersigned director and/or officer (“</w:t>
      </w:r>
      <w:r>
        <w:rPr>
          <w:rFonts w:ascii="Times New Roman" w:cs="Times New Roman" w:eastAsia="Times New Roman" w:hAnsi="Times New Roman"/>
          <w:sz w:val="16"/>
          <w:szCs w:val="16"/>
          <w:u w:val="single" w:color="auto"/>
          <w:color w:val="auto"/>
        </w:rPr>
        <w:t>Undersigned</w:t>
      </w:r>
      <w:r>
        <w:rPr>
          <w:rFonts w:ascii="Times New Roman" w:cs="Times New Roman" w:eastAsia="Times New Roman" w:hAnsi="Times New Roman"/>
          <w:sz w:val="16"/>
          <w:szCs w:val="16"/>
          <w:color w:val="auto"/>
        </w:rPr>
        <w:t>”) of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the Undersigned is entitled to exculpation from liability, indemnification, and reimbursement of expenses pursuant to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the Company’s Articles of Amendment and Restatement, as amended (the “</w:t>
      </w:r>
      <w:r>
        <w:rPr>
          <w:rFonts w:ascii="Times New Roman" w:cs="Times New Roman" w:eastAsia="Times New Roman" w:hAnsi="Times New Roman"/>
          <w:sz w:val="16"/>
          <w:szCs w:val="16"/>
          <w:u w:val="single" w:color="auto"/>
          <w:color w:val="auto"/>
        </w:rPr>
        <w:t>Charter</w:t>
      </w:r>
      <w:r>
        <w:rPr>
          <w:rFonts w:ascii="Times New Roman" w:cs="Times New Roman" w:eastAsia="Times New Roman" w:hAnsi="Times New Roman"/>
          <w:sz w:val="16"/>
          <w:szCs w:val="16"/>
          <w:color w:val="auto"/>
        </w:rPr>
        <w:t>”), including Article V, and Article IX thereof, the Company’s Amended and Restated Bylaws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a Director and/or Officer Indemnification Agreement between the Company and the Undersigned (the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the Company is in the process of electing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notification of election on Form N-54A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Section 17(h) of the Investment Company Act prohibits any provision in the charter, bylaws, or other governing documents of a registered investment company (including a BDC) that protects or purports to protect any director or officer against liability to the company or its stockholders to which such person would otherwise be subject by reason of willful misfeasance, bad faith, gross negligence, or reckless disregard of the duties involved in the conduct of his or her office; and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in order to ensure full compliance with the Investment Company Act in connection with the Company’s BDC election, the Undersigned desires to provide this Consent on the terms set forth herein.</w:t>
      </w:r>
    </w:p>
    <w:p>
      <w:pPr>
        <w:spacing w:after="0" w:line="144" w:lineRule="exact"/>
        <w:rPr>
          <w:sz w:val="20"/>
          <w:szCs w:val="20"/>
          <w:color w:val="auto"/>
        </w:rPr>
      </w:pPr>
    </w:p>
    <w:p>
      <w:pPr>
        <w:ind w:right="120" w:firstLine="574"/>
        <w:spacing w:after="0" w:line="280" w:lineRule="auto"/>
        <w:rPr>
          <w:sz w:val="20"/>
          <w:szCs w:val="20"/>
          <w:color w:val="auto"/>
        </w:rPr>
      </w:pPr>
      <w:r>
        <w:rPr>
          <w:rFonts w:ascii="Times New Roman" w:cs="Times New Roman" w:eastAsia="Times New Roman" w:hAnsi="Times New Roman"/>
          <w:sz w:val="16"/>
          <w:szCs w:val="16"/>
          <w:color w:val="auto"/>
        </w:rPr>
        <w:t>NOW, THEREFORE, for good and valuable consideration, the receipt and sufficiency of which are hereby acknowledged, the Undersigned hereby irrevocably agrees as follows:</w:t>
      </w:r>
    </w:p>
    <w:p>
      <w:pPr>
        <w:spacing w:after="0" w:line="144" w:lineRule="exact"/>
        <w:rPr>
          <w:sz w:val="20"/>
          <w:szCs w:val="20"/>
          <w:color w:val="auto"/>
        </w:rPr>
      </w:pPr>
    </w:p>
    <w:p>
      <w:pPr>
        <w:jc w:val="both"/>
        <w:ind w:right="20" w:firstLine="569"/>
        <w:spacing w:after="0" w:line="265" w:lineRule="auto"/>
        <w:tabs>
          <w:tab w:leader="none" w:pos="75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This Consent shall become effective immediately prior to the effectiveness of the Company’s election to be regulated as a BDC under the Investment Company Act (such time,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For the avoidance of doubt, this Consent shall have no force or effect if the Company does not consummate its BDC election.</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Limited Waiver</w:t>
      </w:r>
      <w:r>
        <w:rPr>
          <w:rFonts w:ascii="Times New Roman" w:cs="Times New Roman" w:eastAsia="Times New Roman" w:hAnsi="Times New Roman"/>
          <w:sz w:val="16"/>
          <w:szCs w:val="16"/>
          <w:color w:val="auto"/>
        </w:rPr>
        <w:t>. Effective as of the Effective Time, notwithstanding any provision of the Maryland General Corporation Law, the Charter (including, without limitation, Article IX and Article V thereof), the Bylaws, or the Indemnification Agreement to the contrary, the Undersigned hereby irrevocably waives any right to exculpation from liability, indemnification, or reimbursement of expenses under the Charter, the Bylaws, or the Indemnification Agreement solely to the extent that such exculpation, indemnification, or reimbursement is expressly prohibited by Section 17(h) of the Investment Company Act (15 U.S.C. § 80a-17(h)), or any rules or regulations promulgated thereunder by the SEC.</w:t>
      </w:r>
    </w:p>
    <w:p>
      <w:pPr>
        <w:spacing w:after="0" w:line="162"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Preservation of Rights</w:t>
      </w:r>
      <w:r>
        <w:rPr>
          <w:rFonts w:ascii="Times New Roman" w:cs="Times New Roman" w:eastAsia="Times New Roman" w:hAnsi="Times New Roman"/>
          <w:sz w:val="16"/>
          <w:szCs w:val="16"/>
          <w:color w:val="auto"/>
        </w:rPr>
        <w:t xml:space="preserve">. Except as expressly limited by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Consent, all rights of the Undersigned to exculpation, indemnification, advancement of expenses, and reimbursement under the Charter, the Bylaws, the Indemnification Agreement, applicable Maryland law, directors’ and officers’ liability insurance, and any other agreement or arrangement shall remain in full force and effect and are not modified, diminished, or otherwise affected by this Consent.</w:t>
      </w:r>
    </w:p>
    <w:p>
      <w:pPr>
        <w:spacing w:after="0" w:line="155" w:lineRule="exact"/>
        <w:rPr>
          <w:rFonts w:ascii="Times New Roman" w:cs="Times New Roman" w:eastAsia="Times New Roman" w:hAnsi="Times New Roman"/>
          <w:sz w:val="16"/>
          <w:szCs w:val="16"/>
          <w:color w:val="auto"/>
        </w:rPr>
      </w:pPr>
    </w:p>
    <w:p>
      <w:pPr>
        <w:jc w:val="both"/>
        <w:ind w:firstLine="569"/>
        <w:spacing w:after="0" w:line="265"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Irrevocability</w:t>
      </w:r>
      <w:r>
        <w:rPr>
          <w:rFonts w:ascii="Times New Roman" w:cs="Times New Roman" w:eastAsia="Times New Roman" w:hAnsi="Times New Roman"/>
          <w:sz w:val="16"/>
          <w:szCs w:val="16"/>
          <w:color w:val="auto"/>
        </w:rPr>
        <w:t>. This Consent is irrevocable and shall be binding upon the Undersigned and his or her heirs, executors, administrators, and legal representatives; provided, however, that it shall terminate automatically if the Company elects not to proceed with the BDC election contemplated hereby or if the Effective Time shall not have occurred prior to June 30, 2026.</w:t>
      </w:r>
    </w:p>
    <w:p>
      <w:pPr>
        <w:spacing w:after="0" w:line="155"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Consent shall be governed by, and construed in accordance with, the laws of the State of Maryland.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ind w:left="560"/>
        <w:spacing w:after="0"/>
        <w:rPr>
          <w:sz w:val="20"/>
          <w:szCs w:val="20"/>
          <w:color w:val="auto"/>
        </w:rPr>
      </w:pPr>
      <w:r>
        <w:rPr>
          <w:rFonts w:ascii="Times New Roman" w:cs="Times New Roman" w:eastAsia="Times New Roman" w:hAnsi="Times New Roman"/>
          <w:sz w:val="16"/>
          <w:szCs w:val="16"/>
          <w:color w:val="auto"/>
        </w:rPr>
        <w:t>IN WITNESS WHEREOF, the Undersigned has executed this Consent as of the date first written above.</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15240</wp:posOffset>
            </wp:positionV>
            <wp:extent cx="249682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ACKNOWLEDGED AND AGREED: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7620</wp:posOffset>
            </wp:positionV>
            <wp:extent cx="249682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 Director Consent and Limited Waiver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137795</wp:posOffset>
            </wp:positionV>
            <wp:extent cx="1335405" cy="1039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540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 and Chicago Atlantic BDC, Inc. Announce Definitive Merger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Creates a scaled BDC positioned for growth while maintaining industry leading credit quality and portfolio yield</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NEW YORK, June 18, 2026 — Chicago Atlantic Real Estate Finance, Inc. (“REFI”) (NASDAQ: REFI), a commercial mortgage real estate investment trust, and Chicago Atlantic BDC, Inc. (the “LIEN”) (NASDAQ: LIEN), a specialty finance company that has elected to be regulated as a business development company (“BDC”), today announced they have entered into a definitive merger agreement (the “Merger Agreement”) under which REFI will elect to be regulated as a BDC, and merge with and into LIEN in an all-stock, strategic combination (the “Merger”). Upon closing of the Merger, LIEN will be the surviving public entity and will continue to operate as a BDC and trade on the Nasdaq Global Select Market under the ticker symbol “LIEN.”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Board of Directors of both companies, each acting on the unanimous recommendation of their respective special committee comprised solely of independent directors, unanimously approved the Merger Agreement and the transactions contemplated thereby. Under the terms of the Merger Agreement, REFI stockholders will receive a number of shares of LIEN common stock based on the ratio of REFI’s adjusted net asset value (“NAV”) per share to LIEN’s adjusted NAV per share, in each case as determined shortly prior to closing in accordance with the Merger Agreement. Based on the respective net asset values of REFI and LIEN as of March 31, 2026, the former REFI stockholders would be expected to own approximately 50.5% of LIEN immediately following the Merger; the actual ownership percentage will depend on the NAV ratio calculated shortly prior to closing. The Merger is structured as an adjusted NAV-for-NAV exchange of shares.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Peter Sack, Co-Chief Executive Officer of REFI and, Chief Executive Officer of LIEN stated “The merger of REFI and LIEN brings together two platforms with a shared foundation of disciplined, senior secured lending to the cannabis industry and underserved segments of the lower middle markets. For REFI, this transaction is a path to unlock value that would be difficult to achieve independently in the current evolving cannabis investment landscape. For LIEN, this transaction accelerates the core strategy.” Mr. Sack continued, “Together, we believe the combined platform will be better positioned to pursue attractive risk-adjusted returns across cannabis and the broader lower middle market.”</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Scott Gordon, Executive Chairman of the Board of Directors of LIEN remarked, “The merger of REFI and LIEN is a strategic transaction that we believe will enhance value for stockholders. We view this as an important step on our path to pursuing greater scale, supporting earnings over time and maintaining strong credit quality for the combined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Benefits of the Merger:</w:t>
      </w:r>
    </w:p>
    <w:p>
      <w:pPr>
        <w:spacing w:after="0" w:line="200" w:lineRule="exact"/>
        <w:rPr>
          <w:sz w:val="20"/>
          <w:szCs w:val="20"/>
          <w:color w:val="auto"/>
        </w:rPr>
      </w:pPr>
    </w:p>
    <w:p>
      <w:pPr>
        <w:ind w:left="560" w:right="20" w:hanging="279"/>
        <w:spacing w:after="0" w:line="187" w:lineRule="auto"/>
        <w:tabs>
          <w:tab w:leader="none" w:pos="540" w:val="left"/>
        </w:tabs>
        <w:rPr>
          <w:sz w:val="20"/>
          <w:szCs w:val="20"/>
          <w:color w:val="auto"/>
        </w:rPr>
      </w:pPr>
      <w:r>
        <w:rPr>
          <w:rFonts w:ascii="Times New Roman" w:cs="Times New Roman" w:eastAsia="Times New Roman" w:hAnsi="Times New Roman"/>
          <w:sz w:val="32"/>
          <w:szCs w:val="32"/>
          <w:color w:val="auto"/>
          <w:vertAlign w:val="superscript"/>
        </w:rPr>
        <w:t>●</w:t>
      </w:r>
      <w:r>
        <w:rPr>
          <w:sz w:val="20"/>
          <w:szCs w:val="20"/>
          <w:color w:val="auto"/>
        </w:rPr>
        <w:tab/>
      </w:r>
      <w:r>
        <w:rPr>
          <w:rFonts w:ascii="Times New Roman" w:cs="Times New Roman" w:eastAsia="Times New Roman" w:hAnsi="Times New Roman"/>
          <w:sz w:val="16"/>
          <w:szCs w:val="16"/>
          <w:b w:val="1"/>
          <w:bCs w:val="1"/>
          <w:color w:val="auto"/>
        </w:rPr>
        <w:t xml:space="preserve">Increases Competitive Positioning – </w:t>
      </w:r>
      <w:r>
        <w:rPr>
          <w:rFonts w:ascii="Times New Roman" w:cs="Times New Roman" w:eastAsia="Times New Roman" w:hAnsi="Times New Roman"/>
          <w:sz w:val="16"/>
          <w:szCs w:val="16"/>
          <w:color w:val="auto"/>
        </w:rPr>
        <w:t>The Merger creates a vehicle with a pro-forma NAV of $613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and a pro-forma portfolio of $771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which the parties believe could expand the combined company’s reach with a broader universe of borrowers.</w:t>
      </w:r>
    </w:p>
    <w:p>
      <w:pPr>
        <w:spacing w:after="0" w:line="201" w:lineRule="exact"/>
        <w:rPr>
          <w:sz w:val="20"/>
          <w:szCs w:val="20"/>
          <w:color w:val="auto"/>
        </w:rPr>
      </w:pPr>
    </w:p>
    <w:p>
      <w:pPr>
        <w:ind w:left="560" w:right="2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Enhances Portfolio Diversification and Collateral Base – </w:t>
      </w:r>
      <w:r>
        <w:rPr>
          <w:rFonts w:ascii="Times New Roman" w:cs="Times New Roman" w:eastAsia="Times New Roman" w:hAnsi="Times New Roman"/>
          <w:sz w:val="16"/>
          <w:szCs w:val="16"/>
          <w:color w:val="auto"/>
        </w:rPr>
        <w:t>The pro forma vehicle is expected to include an attractive mix of cash-flow loans, real estate–backed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loans, and diversified direct lending.</w:t>
      </w:r>
    </w:p>
    <w:p>
      <w:pPr>
        <w:spacing w:after="0" w:line="164" w:lineRule="exact"/>
        <w:rPr>
          <w:sz w:val="20"/>
          <w:szCs w:val="20"/>
          <w:color w:val="auto"/>
        </w:rPr>
      </w:pPr>
    </w:p>
    <w:p>
      <w:pPr>
        <w:ind w:left="56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Improves Access to Debt Capital – </w:t>
      </w:r>
      <w:r>
        <w:rPr>
          <w:rFonts w:ascii="Times New Roman" w:cs="Times New Roman" w:eastAsia="Times New Roman" w:hAnsi="Times New Roman"/>
          <w:sz w:val="16"/>
          <w:szCs w:val="16"/>
          <w:color w:val="auto"/>
        </w:rPr>
        <w:t>Increased scale is expected to expand access to larger, lower-cost, and more diversified leverage, which the boards believe could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more efficient balance sheet management over time, driving incremental earnings.</w:t>
      </w:r>
    </w:p>
    <w:p>
      <w:pPr>
        <w:spacing w:after="0" w:line="16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Enhances Liquidity and Investor Visibility – </w:t>
      </w:r>
      <w:r>
        <w:rPr>
          <w:rFonts w:ascii="Times New Roman" w:cs="Times New Roman" w:eastAsia="Times New Roman" w:hAnsi="Times New Roman"/>
          <w:sz w:val="16"/>
          <w:szCs w:val="16"/>
          <w:color w:val="auto"/>
        </w:rPr>
        <w:t>Increased scale may support improved trading liquidity, increased institutional engagement and visibility.</w:t>
      </w:r>
    </w:p>
    <w:p>
      <w:pPr>
        <w:spacing w:after="0" w:line="222" w:lineRule="exact"/>
        <w:rPr>
          <w:sz w:val="20"/>
          <w:szCs w:val="20"/>
          <w:color w:val="auto"/>
        </w:rPr>
      </w:pPr>
    </w:p>
    <w:p>
      <w:pPr>
        <w:ind w:left="560" w:right="2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Potential for Earnings Accretion – </w:t>
      </w:r>
      <w:r>
        <w:rPr>
          <w:rFonts w:ascii="Times New Roman" w:cs="Times New Roman" w:eastAsia="Times New Roman" w:hAnsi="Times New Roman"/>
          <w:sz w:val="16"/>
          <w:szCs w:val="16"/>
          <w:color w:val="auto"/>
        </w:rPr>
        <w:t>The boards believe the combination has the potential to drive operating efficiencies through the elimination of overlapping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expense categories and may support increased earnings capacity over time through prudent use of leverage.</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6"/>
          <w:szCs w:val="16"/>
          <w:color w:val="auto"/>
        </w:rPr>
        <w:t>Pro-forma information based on March 31, 2026 financial statements as reported on Form 10-Q.</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6" w:name="page117"/>
    <w:bookmarkEnd w:id="116"/>
    <w:p>
      <w:pPr>
        <w:ind w:left="560" w:right="20" w:hanging="278"/>
        <w:spacing w:after="0" w:line="283" w:lineRule="auto"/>
        <w:tabs>
          <w:tab w:leader="none" w:pos="5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Pro Forma Portfolio Metrics – </w:t>
      </w:r>
      <w:r>
        <w:rPr>
          <w:rFonts w:ascii="Times New Roman" w:cs="Times New Roman" w:eastAsia="Times New Roman" w:hAnsi="Times New Roman"/>
          <w:sz w:val="16"/>
          <w:szCs w:val="16"/>
          <w:color w:val="auto"/>
        </w:rPr>
        <w:t>Results in a pro-forma portfolio with strong, credit metrics, reflecting the aligned investment and underwriting philosophies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combined platforms.</w:t>
      </w:r>
    </w:p>
    <w:p>
      <w:pPr>
        <w:spacing w:after="0" w:line="163"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Repurchase Program – </w:t>
      </w:r>
      <w:r>
        <w:rPr>
          <w:rFonts w:ascii="Times New Roman" w:cs="Times New Roman" w:eastAsia="Times New Roman" w:hAnsi="Times New Roman"/>
          <w:sz w:val="16"/>
          <w:szCs w:val="16"/>
          <w:color w:val="auto"/>
        </w:rPr>
        <w:t>The Merger agreement provides that the LIEN board will consider in good faith, the adoption of a stock repurchase program of up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$25.0 million to be implemented following the closing of the transaction, subject to market conditions and other factors the LIEN Board determines to be relevant at that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and Governance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Chicago Atlantic BDC Advisers, LLC, a majority-owned subsidiary of Chicago Atlantic Group, LP, will continue to serve as the investment adviser of LIEN following the closing of the Merger.</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Peter Sack will lead the combined company as Chief Executive Officer. Following the closing of the transaction, the LIEN Board of Directors will include three independent directors continuing from REFI and two independent directors continuing from LIEN, along with two directors affiliated with the LIEN Adviser or its affiliates (subject to finalization in accordance with the Merger Agreement and applicable Investment Company Act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Approvals and Expected Timing</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Completion of the Merger is subject to the approval of stockholders of both REFI and LIEN, as well as regulatory approvals, lender consents and other customary closing conditions. Subject to the satisfaction of the conditions of the transaction, the Merger is currently expected to close in the fourth quarter of 2026. Chicago Atlantic has agreed to fund $2.0 million of REFI’s transaction-related expenses in connection with the transaction at or immediately prior to closing, underscoring its commitment to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Advisors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Oppenheimer &amp; Co. is serving as financial advisor, and Nixon Peabody LLP is serving as legal counsel to the Special Committee of independent directors of REFI.</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Keefe, Bruyette &amp; Woods, A Stifel Company, is serving as financial advisor, and Eversheds Sutherland is serving as legal counsel to the Special Committee of independent directors of LIEN.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Related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971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97155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A joint conference call will be held </w:t>
      </w:r>
      <w:r>
        <w:rPr>
          <w:rFonts w:ascii="Times New Roman" w:cs="Times New Roman" w:eastAsia="Times New Roman" w:hAnsi="Times New Roman"/>
          <w:sz w:val="16"/>
          <w:szCs w:val="16"/>
          <w:color w:val="auto"/>
          <w:highlight w:val="white"/>
        </w:rPr>
        <w:t>at 9:00 a.m. ET on</w:t>
      </w:r>
      <w:r>
        <w:rPr>
          <w:rFonts w:ascii="Times New Roman" w:cs="Times New Roman" w:eastAsia="Times New Roman" w:hAnsi="Times New Roman"/>
          <w:sz w:val="16"/>
          <w:szCs w:val="16"/>
          <w:color w:val="auto"/>
        </w:rPr>
        <w:t xml:space="preserve"> Thursday, June 18, 2026. </w:t>
      </w:r>
      <w:r>
        <w:rPr>
          <w:rFonts w:ascii="Times New Roman" w:cs="Times New Roman" w:eastAsia="Times New Roman" w:hAnsi="Times New Roman"/>
          <w:sz w:val="16"/>
          <w:szCs w:val="16"/>
          <w:color w:val="auto"/>
          <w:highlight w:val="white"/>
        </w:rPr>
        <w:t>A live webcast of the conference call and associated presentation material will be available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 xml:space="preserve">the investor relations section of each company’s website at </w:t>
      </w:r>
      <w:r>
        <w:rPr>
          <w:rFonts w:ascii="Times New Roman" w:cs="Times New Roman" w:eastAsia="Times New Roman" w:hAnsi="Times New Roman"/>
          <w:sz w:val="16"/>
          <w:szCs w:val="16"/>
          <w:color w:val="auto"/>
        </w:rPr>
        <w:t>investors.refi.reit and</w:t>
      </w:r>
      <w:r>
        <w:rPr>
          <w:rFonts w:ascii="Times New Roman" w:cs="Times New Roman" w:eastAsia="Times New Roman" w:hAnsi="Times New Roman"/>
          <w:sz w:val="16"/>
          <w:szCs w:val="16"/>
          <w:color w:val="auto"/>
          <w:highlight w:val="white"/>
        </w:rPr>
        <w:t xml:space="preserve"> investors.chicagoatlanticbdc.com </w:t>
      </w:r>
      <w:r>
        <w:rPr>
          <w:rFonts w:ascii="Times New Roman" w:cs="Times New Roman" w:eastAsia="Times New Roman" w:hAnsi="Times New Roman"/>
          <w:sz w:val="16"/>
          <w:szCs w:val="16"/>
          <w:color w:val="auto"/>
        </w:rPr>
        <w:t>A replay of the call will be available at the end of the day at</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the same locations.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w:t>
      </w:r>
    </w:p>
    <w:p>
      <w:pPr>
        <w:spacing w:after="0" w:line="198" w:lineRule="exact"/>
        <w:rPr>
          <w:sz w:val="20"/>
          <w:szCs w:val="20"/>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June 18, 2026</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highlight w:val="white"/>
        </w:rPr>
        <w:t>877-317-6789 and 412-317-6789 for international callers</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 https://event.choruscall.com/mediaframe/webcast.html?webcastid=cm4KYEzO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-621030</wp:posOffset>
            </wp:positionV>
            <wp:extent cx="7148195"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48195"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color w:val="auto"/>
        </w:rPr>
        <w:t>About Chicago Atlantic Real Estate Finance, Inc.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Chicago Atlantic Real Estate Finance, Inc. (NASDAQ: REFI) is a market-leading commercial mortgage REIT utilizing significant real estate, credit and cannabis expertise to originate senior secured loans primarily to state-licensed cannabis operators in limited-license states in the United States. REFI is managed by Chicago Atlantic REIT Manager, LLC, an investment manager focused on the cannabis industry and other niche or underfollowed sectors, please visit https://www.refi.reit/.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Chicago Atlantic BDC, Inc. (Nasdaq: LIEN) is a specialty finance company that has elected to be regulated as a business development company under the Investment Company Act of 1940, as amended, and has elected to be treated as a regulated investment company for U.S. federal income tax purposes. LIEN’s investment objective is to maximize risk-adjusted returns on equity for its stockholders by investing primarily in direct loans to privately held middle-market companies, with a primary focus on cannabis companies. LIEN is managed by Chicago Atlantic BDC Advisers, LLC, an investment manager focused on the cannabis industry and other niche or underfollowed sectors. For more information, please visit https://investors.chicagoatlanticbdc.com/.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communication constitute forward-looking statements because they relate to future events, future performance or financial condition of REFI, LIEN or the Merger. Forward-looking statements may include statements as to: future operating results of the combined company and distribution projections; business prospects of the combined company and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ability to realize the anticipated benefits of the Merger;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laws applicable to the cannabis industry;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 (xiv) 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of Directors has agreed to consider in good faith following the Closing may not be adoption,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each company’s investor relations website at www.investors.chicagoatlanticbdc.com (LIEN) and www.investors.refi.reit (REFI), or by directing a request to LIEN@chicagoatlantic.com (LIEN) or IR@REFI.reit (REFI).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IR@REFI.reit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9" w:name="page120"/>
    <w:bookmarkEnd w:id="119"/>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lowerLetter"/>
      <w:start w:val="1"/>
    </w:lvl>
  </w:abstractNum>
  <w:abstractNum w:abstractNumId="5">
    <w:nsid w:val="235BA861"/>
    <w:multiLevelType w:val="hybridMultilevel"/>
    <w:lvl w:ilvl="0">
      <w:lvlJc w:val="left"/>
      <w:lvlText w:val="(%1)"/>
      <w:numFmt w:val="lowerLetter"/>
      <w:start w:val="6"/>
    </w:lvl>
  </w:abstractNum>
  <w:abstractNum w:abstractNumId="6">
    <w:nsid w:val="47398C89"/>
    <w:multiLevelType w:val="hybridMultilevel"/>
    <w:lvl w:ilvl="0">
      <w:lvlJc w:val="left"/>
      <w:lvlText w:val="(%1)"/>
      <w:numFmt w:val="lowerLetter"/>
      <w:start w:val="1"/>
    </w:lvl>
  </w:abstractNum>
  <w:abstractNum w:abstractNumId="7">
    <w:nsid w:val="354FE9F9"/>
    <w:multiLevelType w:val="hybridMultilevel"/>
    <w:lvl w:ilvl="0">
      <w:lvlJc w:val="left"/>
      <w:lvlText w:val="(%1)"/>
      <w:numFmt w:val="lowerLetter"/>
      <w:start w:val="1"/>
    </w:lvl>
  </w:abstractNum>
  <w:abstractNum w:abstractNumId="8">
    <w:nsid w:val="15B5AF5C"/>
    <w:multiLevelType w:val="hybridMultilevel"/>
    <w:lvl w:ilvl="0">
      <w:lvlJc w:val="left"/>
      <w:lvlText w:val="(%1)"/>
      <w:numFmt w:val="lowerLetter"/>
      <w:start w:val="1"/>
    </w:lvl>
  </w:abstractNum>
  <w:abstractNum w:abstractNumId="9">
    <w:nsid w:val="741226BB"/>
    <w:multiLevelType w:val="hybridMultilevel"/>
    <w:lvl w:ilvl="0">
      <w:lvlJc w:val="left"/>
      <w:lvlText w:val="(%1)"/>
      <w:numFmt w:val="lowerLetter"/>
      <w:start w:val="1"/>
    </w:lvl>
  </w:abstractNum>
  <w:abstractNum w:abstractNumId="10">
    <w:nsid w:val="D34B6A8"/>
    <w:multiLevelType w:val="hybridMultilevel"/>
    <w:lvl w:ilvl="0">
      <w:lvlJc w:val="left"/>
      <w:lvlText w:val="(%1)"/>
      <w:numFmt w:val="lowerLetter"/>
      <w:start w:val="1"/>
    </w:lvl>
  </w:abstractNum>
  <w:abstractNum w:abstractNumId="11">
    <w:nsid w:val="10233C99"/>
    <w:multiLevelType w:val="hybridMultilevel"/>
    <w:lvl w:ilvl="0">
      <w:lvlJc w:val="left"/>
      <w:lvlText w:val="(%1)"/>
      <w:numFmt w:val="lowerRoman"/>
      <w:start w:val="6"/>
    </w:lvl>
  </w:abstractNum>
  <w:abstractNum w:abstractNumId="12">
    <w:nsid w:val="3F6AB60F"/>
    <w:multiLevelType w:val="hybridMultilevel"/>
    <w:lvl w:ilvl="0">
      <w:lvlJc w:val="left"/>
      <w:lvlText w:val="(%1)"/>
      <w:numFmt w:val="lowerLetter"/>
      <w:start w:val="1"/>
    </w:lvl>
  </w:abstractNum>
  <w:abstractNum w:abstractNumId="13">
    <w:nsid w:val="61574095"/>
    <w:multiLevelType w:val="hybridMultilevel"/>
    <w:lvl w:ilvl="0">
      <w:lvlJc w:val="left"/>
      <w:lvlText w:val="(%1)"/>
      <w:numFmt w:val="lowerLetter"/>
      <w:start w:val="3"/>
    </w:lvl>
  </w:abstractNum>
  <w:abstractNum w:abstractNumId="14">
    <w:nsid w:val="7E0C57B1"/>
    <w:multiLevelType w:val="hybridMultilevel"/>
    <w:lvl w:ilvl="0">
      <w:lvlJc w:val="left"/>
      <w:lvlText w:val="(%1)"/>
      <w:numFmt w:val="lowerLetter"/>
      <w:start w:val="1"/>
    </w:lvl>
  </w:abstractNum>
  <w:abstractNum w:abstractNumId="15">
    <w:nsid w:val="77AE35EB"/>
    <w:multiLevelType w:val="hybridMultilevel"/>
    <w:lvl w:ilvl="0">
      <w:lvlJc w:val="left"/>
      <w:lvlText w:val="(%1)"/>
      <w:numFmt w:val="lowerLetter"/>
      <w:start w:val="4"/>
    </w:lvl>
    <w:lvl w:ilvl="1">
      <w:lvlJc w:val="left"/>
      <w:lvlText w:val="(%2)"/>
      <w:numFmt w:val="lowerLetter"/>
      <w:start w:val="9"/>
    </w:lvl>
  </w:abstractNum>
  <w:abstractNum w:abstractNumId="16">
    <w:nsid w:val="579BE4F1"/>
    <w:multiLevelType w:val="hybridMultilevel"/>
    <w:lvl w:ilvl="0">
      <w:lvlJc w:val="left"/>
      <w:lvlText w:val="%1"/>
      <w:numFmt w:val="lowerLetter"/>
      <w:start w:val="1"/>
    </w:lvl>
    <w:lvl w:ilvl="1">
      <w:lvlJc w:val="left"/>
      <w:lvlText w:val="(%2)"/>
      <w:numFmt w:val="lowerRoman"/>
      <w:start w:val="2"/>
    </w:lvl>
  </w:abstractNum>
  <w:abstractNum w:abstractNumId="17">
    <w:nsid w:val="310C50B3"/>
    <w:multiLevelType w:val="hybridMultilevel"/>
    <w:lvl w:ilvl="0">
      <w:lvlJc w:val="left"/>
      <w:lvlText w:val="(%1)"/>
      <w:numFmt w:val="lowerLetter"/>
      <w:start w:val="8"/>
    </w:lvl>
    <w:lvl w:ilvl="1">
      <w:lvlJc w:val="left"/>
      <w:lvlText w:val="%2"/>
      <w:numFmt w:val="lowerRoman"/>
      <w:start w:val="1"/>
    </w:lvl>
  </w:abstractNum>
  <w:abstractNum w:abstractNumId="18">
    <w:nsid w:val="5FF87E05"/>
    <w:multiLevelType w:val="hybridMultilevel"/>
    <w:lvl w:ilvl="0">
      <w:lvlJc w:val="left"/>
      <w:lvlText w:val="(%1)"/>
      <w:numFmt w:val="lowerLetter"/>
      <w:start w:val="1"/>
    </w:lvl>
  </w:abstractNum>
  <w:abstractNum w:abstractNumId="19">
    <w:nsid w:val="2F305DEF"/>
    <w:multiLevelType w:val="hybridMultilevel"/>
    <w:lvl w:ilvl="0">
      <w:lvlJc w:val="left"/>
      <w:lvlText w:val="(%1)"/>
      <w:numFmt w:val="lowerLetter"/>
      <w:start w:val="3"/>
    </w:lvl>
  </w:abstractNum>
  <w:abstractNum w:abstractNumId="20">
    <w:nsid w:val="25A70BF7"/>
    <w:multiLevelType w:val="hybridMultilevel"/>
    <w:lvl w:ilvl="0">
      <w:lvlJc w:val="left"/>
      <w:lvlText w:val="(%1)"/>
      <w:numFmt w:val="lowerLetter"/>
      <w:start w:val="1"/>
    </w:lvl>
  </w:abstractNum>
  <w:abstractNum w:abstractNumId="21">
    <w:nsid w:val="1DBABF00"/>
    <w:multiLevelType w:val="hybridMultilevel"/>
    <w:lvl w:ilvl="0">
      <w:lvlJc w:val="left"/>
      <w:lvlText w:val="(%1)"/>
      <w:numFmt w:val="lowerLetter"/>
      <w:start w:val="2"/>
    </w:lvl>
  </w:abstractNum>
  <w:abstractNum w:abstractNumId="22">
    <w:nsid w:val="4AD084E9"/>
    <w:multiLevelType w:val="hybridMultilevel"/>
    <w:lvl w:ilvl="0">
      <w:lvlJc w:val="left"/>
      <w:lvlText w:val="(%1)"/>
      <w:numFmt w:val="lowerLetter"/>
      <w:start w:val="8"/>
    </w:lvl>
  </w:abstractNum>
  <w:abstractNum w:abstractNumId="23">
    <w:nsid w:val="1F48EAA1"/>
    <w:multiLevelType w:val="hybridMultilevel"/>
    <w:lvl w:ilvl="0">
      <w:lvlJc w:val="left"/>
      <w:lvlText w:val="(%1)"/>
      <w:numFmt w:val="lowerLetter"/>
      <w:start w:val="14"/>
    </w:lvl>
  </w:abstractNum>
  <w:abstractNum w:abstractNumId="24">
    <w:nsid w:val="1381823A"/>
    <w:multiLevelType w:val="hybridMultilevel"/>
    <w:lvl w:ilvl="0">
      <w:lvlJc w:val="left"/>
      <w:lvlText w:val="(%1)"/>
      <w:numFmt w:val="lowerLetter"/>
      <w:start w:val="1"/>
    </w:lvl>
    <w:lvl w:ilvl="1">
      <w:lvlJc w:val="left"/>
      <w:lvlText w:val="(%2)"/>
      <w:numFmt w:val="lowerRoman"/>
      <w:start w:val="1"/>
    </w:lvl>
  </w:abstractNum>
  <w:abstractNum w:abstractNumId="25">
    <w:nsid w:val="5DB70AE5"/>
    <w:multiLevelType w:val="hybridMultilevel"/>
    <w:lvl w:ilvl="0">
      <w:lvlJc w:val="left"/>
      <w:lvlText w:val="%1"/>
      <w:numFmt w:val="lowerLetter"/>
      <w:start w:val="1"/>
    </w:lvl>
    <w:lvl w:ilvl="1">
      <w:lvlJc w:val="left"/>
      <w:lvlText w:val="(%2)"/>
      <w:numFmt w:val="lowerRoman"/>
      <w:start w:val="4"/>
    </w:lvl>
  </w:abstractNum>
  <w:abstractNum w:abstractNumId="26">
    <w:nsid w:val="100F8FCA"/>
    <w:multiLevelType w:val="hybridMultilevel"/>
    <w:lvl w:ilvl="0">
      <w:lvlJc w:val="left"/>
      <w:lvlText w:val="(%1)"/>
      <w:numFmt w:val="lowerLetter"/>
      <w:start w:val="2"/>
    </w:lvl>
    <w:lvl w:ilvl="1">
      <w:lvlJc w:val="left"/>
      <w:lvlText w:val="%2"/>
      <w:numFmt w:val="lowerRoman"/>
      <w:start w:val="1"/>
    </w:lvl>
  </w:abstractNum>
  <w:abstractNum w:abstractNumId="27">
    <w:nsid w:val="6590700B"/>
    <w:multiLevelType w:val="hybridMultilevel"/>
    <w:lvl w:ilvl="0">
      <w:lvlJc w:val="left"/>
      <w:lvlText w:val="(%1)"/>
      <w:numFmt w:val="lowerLetter"/>
      <w:start w:val="1"/>
    </w:lvl>
  </w:abstractNum>
  <w:abstractNum w:abstractNumId="28">
    <w:nsid w:val="15014ACB"/>
    <w:multiLevelType w:val="hybridMultilevel"/>
    <w:lvl w:ilvl="0">
      <w:lvlJc w:val="left"/>
      <w:lvlText w:val="(%1)"/>
      <w:numFmt w:val="lowerLetter"/>
      <w:start w:val="2"/>
    </w:lvl>
  </w:abstractNum>
  <w:abstractNum w:abstractNumId="29">
    <w:nsid w:val="5F5E7FD0"/>
    <w:multiLevelType w:val="hybridMultilevel"/>
    <w:lvl w:ilvl="0">
      <w:lvlJc w:val="left"/>
      <w:lvlText w:val="(%1)"/>
      <w:numFmt w:val="lowerLetter"/>
      <w:start w:val="1"/>
    </w:lvl>
  </w:abstractNum>
  <w:abstractNum w:abstractNumId="30">
    <w:nsid w:val="98A3148"/>
    <w:multiLevelType w:val="hybridMultilevel"/>
    <w:lvl w:ilvl="0">
      <w:lvlJc w:val="left"/>
      <w:lvlText w:val="(%1)"/>
      <w:numFmt w:val="lowerLetter"/>
      <w:start w:val="1"/>
    </w:lvl>
  </w:abstractNum>
  <w:abstractNum w:abstractNumId="31">
    <w:nsid w:val="799D0247"/>
    <w:multiLevelType w:val="hybridMultilevel"/>
    <w:lvl w:ilvl="0">
      <w:lvlJc w:val="left"/>
      <w:lvlText w:val="(%1)"/>
      <w:numFmt w:val="lowerLetter"/>
      <w:start w:val="1"/>
    </w:lvl>
  </w:abstractNum>
  <w:abstractNum w:abstractNumId="32">
    <w:nsid w:val="6B94764"/>
    <w:multiLevelType w:val="hybridMultilevel"/>
    <w:lvl w:ilvl="0">
      <w:lvlJc w:val="left"/>
      <w:lvlText w:val="(%1)"/>
      <w:numFmt w:val="lowerLetter"/>
      <w:start w:val="2"/>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lowerLetter"/>
      <w:start w:val="2"/>
    </w:lvl>
  </w:abstractNum>
  <w:abstractNum w:abstractNumId="35">
    <w:nsid w:val="1EBA5D23"/>
    <w:multiLevelType w:val="hybridMultilevel"/>
    <w:lvl w:ilvl="0">
      <w:lvlJc w:val="left"/>
      <w:lvlText w:val="(%1)"/>
      <w:numFmt w:val="lowerLetter"/>
      <w:start w:val="6"/>
    </w:lvl>
    <w:lvl w:ilvl="1">
      <w:lvlJc w:val="left"/>
      <w:lvlText w:val="(%2)"/>
      <w:numFmt w:val="lowerRoman"/>
      <w:start w:val="1"/>
    </w:lvl>
  </w:abstractNum>
  <w:abstractNum w:abstractNumId="36">
    <w:nsid w:val="661E3F1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7">
    <w:nsid w:val="5DC79EA8"/>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38">
    <w:nsid w:val="540A471C"/>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39">
    <w:nsid w:val="7BD3EE7B"/>
    <w:multiLevelType w:val="hybridMultilevel"/>
    <w:lvl w:ilvl="0">
      <w:lvlJc w:val="left"/>
      <w:lvlText w:val="(%1)"/>
      <w:numFmt w:val="lowerLetter"/>
      <w:start w:val="1"/>
    </w:lvl>
  </w:abstractNum>
  <w:abstractNum w:abstractNumId="40">
    <w:nsid w:val="51D9C564"/>
    <w:multiLevelType w:val="hybridMultilevel"/>
    <w:lvl w:ilvl="0">
      <w:lvlJc w:val="left"/>
      <w:lvlText w:val="(%1)"/>
      <w:numFmt w:val="lowerLetter"/>
      <w:start w:val="3"/>
    </w:lvl>
  </w:abstractNum>
  <w:abstractNum w:abstractNumId="41">
    <w:nsid w:val="613EFDC5"/>
    <w:multiLevelType w:val="hybridMultilevel"/>
    <w:lvl w:ilvl="0">
      <w:lvlJc w:val="left"/>
      <w:lvlText w:val="(%1)"/>
      <w:numFmt w:val="lowerLetter"/>
      <w:start w:val="7"/>
    </w:lvl>
  </w:abstractNum>
  <w:abstractNum w:abstractNumId="42">
    <w:nsid w:val="BF72B14"/>
    <w:multiLevelType w:val="hybridMultilevel"/>
    <w:lvl w:ilvl="0">
      <w:lvlJc w:val="left"/>
      <w:lvlText w:val="(%1)"/>
      <w:numFmt w:val="lowerLetter"/>
      <w:start w:val="1"/>
    </w:lvl>
  </w:abstractNum>
  <w:abstractNum w:abstractNumId="43">
    <w:nsid w:val="11447B73"/>
    <w:multiLevelType w:val="hybridMultilevel"/>
    <w:lvl w:ilvl="0">
      <w:lvlJc w:val="left"/>
      <w:lvlText w:val="(%1)"/>
      <w:numFmt w:val="lowerLetter"/>
      <w:start w:val="5"/>
    </w:lvl>
  </w:abstractNum>
  <w:abstractNum w:abstractNumId="44">
    <w:nsid w:val="42963E5A"/>
    <w:multiLevelType w:val="hybridMultilevel"/>
    <w:lvl w:ilvl="0">
      <w:lvlJc w:val="left"/>
      <w:lvlText w:val="(%1)"/>
      <w:numFmt w:val="lowerLetter"/>
      <w:start w:val="10"/>
    </w:lvl>
  </w:abstractNum>
  <w:abstractNum w:abstractNumId="45">
    <w:nsid w:val="A0382C5"/>
    <w:multiLevelType w:val="hybridMultilevel"/>
    <w:lvl w:ilvl="0">
      <w:lvlJc w:val="left"/>
      <w:lvlText w:val="(%1)"/>
      <w:numFmt w:val="lowerLetter"/>
      <w:start w:val="19"/>
    </w:lvl>
  </w:abstractNum>
  <w:abstractNum w:abstractNumId="46">
    <w:nsid w:val="8F2B15E"/>
    <w:multiLevelType w:val="hybridMultilevel"/>
    <w:lvl w:ilvl="0">
      <w:lvlJc w:val="left"/>
      <w:lvlText w:val="(%1)"/>
      <w:numFmt w:val="lowerLetter"/>
      <w:start w:val="1"/>
    </w:lvl>
    <w:lvl w:ilvl="1">
      <w:lvlJc w:val="left"/>
      <w:lvlText w:val="(%2)"/>
      <w:numFmt w:val="lowerRoman"/>
      <w:start w:val="1"/>
    </w:lvl>
  </w:abstractNum>
  <w:abstractNum w:abstractNumId="47">
    <w:nsid w:val="1A32234B"/>
    <w:multiLevelType w:val="hybridMultilevel"/>
    <w:lvl w:ilvl="0">
      <w:lvlJc w:val="left"/>
      <w:lvlText w:val="%1"/>
      <w:numFmt w:val="lowerLetter"/>
      <w:start w:val="1"/>
    </w:lvl>
    <w:lvl w:ilvl="1">
      <w:lvlJc w:val="left"/>
      <w:lvlText w:val="(%2)"/>
      <w:numFmt w:val="lowerRoman"/>
      <w:start w:val="3"/>
    </w:lvl>
  </w:abstractNum>
  <w:abstractNum w:abstractNumId="48">
    <w:nsid w:val="3B0FD379"/>
    <w:multiLevelType w:val="hybridMultilevel"/>
    <w:lvl w:ilvl="0">
      <w:lvlJc w:val="left"/>
      <w:lvlText w:val="(%1)"/>
      <w:numFmt w:val="lowerLetter"/>
      <w:start w:val="2"/>
    </w:lvl>
    <w:lvl w:ilvl="1">
      <w:lvlJc w:val="left"/>
      <w:lvlText w:val="%2"/>
      <w:numFmt w:val="lowerRoman"/>
      <w:start w:val="1"/>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3"/>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3"/>
    </w:lvl>
  </w:abstractNum>
  <w:abstractNum w:abstractNumId="54">
    <w:nsid w:val="7FFFCA11"/>
    <w:multiLevelType w:val="hybridMultilevel"/>
    <w:lvl w:ilvl="0">
      <w:lvlJc w:val="left"/>
      <w:lvlText w:val="%1"/>
      <w:numFmt w:val="upperLetter"/>
      <w:start w:val="1"/>
    </w:lvl>
    <w:lvl w:ilvl="1">
      <w:lvlJc w:val="left"/>
      <w:lvlText w:val="(%2)"/>
      <w:numFmt w:val="lowerLetter"/>
      <w:start w:val="1"/>
    </w:lvl>
  </w:abstractNum>
  <w:abstractNum w:abstractNumId="55">
    <w:nsid w:val="1A27709E"/>
    <w:multiLevelType w:val="hybridMultilevel"/>
    <w:lvl w:ilvl="0">
      <w:lvlJc w:val="left"/>
      <w:lvlText w:val="(%1)"/>
      <w:numFmt w:val="upperLetter"/>
      <w:start w:val="1"/>
    </w:lvl>
    <w:lvl w:ilvl="1">
      <w:lvlJc w:val="left"/>
      <w:lvlText w:val="%2"/>
      <w:numFmt w:val="lowerLetter"/>
      <w:start w:val="1"/>
    </w:lvl>
  </w:abstractNum>
  <w:abstractNum w:abstractNumId="56">
    <w:nsid w:val="71EA1109"/>
    <w:multiLevelType w:val="hybridMultilevel"/>
    <w:lvl w:ilvl="0">
      <w:lvlJc w:val="left"/>
      <w:lvlText w:val="(%1)"/>
      <w:numFmt w:val="lowerLetter"/>
      <w:start w:val="3"/>
    </w:lvl>
  </w:abstractNum>
  <w:abstractNum w:abstractNumId="57">
    <w:nsid w:val="100F59DC"/>
    <w:multiLevelType w:val="hybridMultilevel"/>
    <w:lvl w:ilvl="0">
      <w:lvlJc w:val="left"/>
      <w:lvlText w:val="(%1)"/>
      <w:numFmt w:val="lowerLetter"/>
      <w:start w:val="12"/>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2"/>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1)"/>
      <w:numFmt w:val="lowerLetter"/>
      <w:start w:val="2"/>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2"/>
    </w:lvl>
  </w:abstractNum>
  <w:abstractNum w:abstractNumId="66">
    <w:nsid w:val="14E17E33"/>
    <w:multiLevelType w:val="hybridMultilevel"/>
    <w:lvl w:ilvl="0">
      <w:lvlJc w:val="left"/>
      <w:lvlText w:val="(%1)"/>
      <w:numFmt w:val="lowerLetter"/>
      <w:start w:val="1"/>
    </w:lvl>
    <w:lvl w:ilvl="1">
      <w:lvlJc w:val="left"/>
      <w:lvlText w:val="(%2)"/>
      <w:numFmt w:val="lowerRoman"/>
      <w:start w:val="1"/>
    </w:lvl>
  </w:abstractNum>
  <w:abstractNum w:abstractNumId="67">
    <w:nsid w:val="3222E7CD"/>
    <w:multiLevelType w:val="hybridMultilevel"/>
    <w:lvl w:ilvl="0">
      <w:lvlJc w:val="left"/>
      <w:lvlText w:val="(%1)"/>
      <w:numFmt w:val="lowerLetter"/>
      <w:start w:val="2"/>
    </w:lvl>
  </w:abstractNum>
  <w:abstractNum w:abstractNumId="68">
    <w:nsid w:val="74DE0EE3"/>
    <w:multiLevelType w:val="hybridMultilevel"/>
    <w:lvl w:ilvl="0">
      <w:lvlJc w:val="left"/>
      <w:lvlText w:val="(%1)"/>
      <w:numFmt w:val="lowerLetter"/>
      <w:start w:val="6"/>
    </w:lvl>
  </w:abstractNum>
  <w:abstractNum w:abstractNumId="69">
    <w:nsid w:val="68EBC550"/>
    <w:multiLevelType w:val="hybridMultilevel"/>
    <w:lvl w:ilvl="0">
      <w:lvlJc w:val="left"/>
      <w:lvlText w:val="(%1)"/>
      <w:numFmt w:val="lowerLetter"/>
      <w:start w:val="1"/>
    </w:lvl>
    <w:lvl w:ilvl="1">
      <w:lvlJc w:val="left"/>
      <w:lvlText w:val="(%2)"/>
      <w:numFmt w:val="lowerRoman"/>
      <w:start w:val="1"/>
    </w:lvl>
  </w:abstractNum>
  <w:abstractNum w:abstractNumId="70">
    <w:nsid w:val="2DF6D648"/>
    <w:multiLevelType w:val="hybridMultilevel"/>
    <w:lvl w:ilvl="0">
      <w:lvlJc w:val="left"/>
      <w:lvlText w:val="(%1)"/>
      <w:numFmt w:val="lowerLetter"/>
      <w:start w:val="2"/>
    </w:lvl>
  </w:abstractNum>
  <w:abstractNum w:abstractNumId="71">
    <w:nsid w:val="46B7D447"/>
    <w:multiLevelType w:val="hybridMultilevel"/>
    <w:lvl w:ilvl="0">
      <w:lvlJc w:val="left"/>
      <w:lvlText w:val="(%1)"/>
      <w:numFmt w:val="lowerLetter"/>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2"/>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2"/>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1)"/>
      <w:numFmt w:val="lowerLetter"/>
      <w:start w:val="3"/>
    </w:lvl>
  </w:abstractNum>
  <w:abstractNum w:abstractNumId="78">
    <w:nsid w:val="26F324BA"/>
    <w:multiLevelType w:val="hybridMultilevel"/>
    <w:lvl w:ilvl="0">
      <w:lvlJc w:val="left"/>
      <w:lvlText w:val="%1"/>
      <w:numFmt w:val="lowerLetter"/>
      <w:start w:val="1"/>
    </w:lvl>
    <w:lvl w:ilvl="1">
      <w:lvlJc w:val="left"/>
      <w:lvlText w:val="(%2)"/>
      <w:numFmt w:val="lowerLetter"/>
      <w:start w:val="1"/>
    </w:lvl>
  </w:abstractNum>
  <w:abstractNum w:abstractNumId="79">
    <w:nsid w:val="7F01579B"/>
    <w:multiLevelType w:val="hybridMultilevel"/>
    <w:lvl w:ilvl="0">
      <w:lvlJc w:val="left"/>
      <w:lvlText w:val="(%1)"/>
      <w:numFmt w:val="lowerLetter"/>
      <w:start w:val="35"/>
    </w:lvl>
    <w:lvl w:ilvl="1">
      <w:lvlJc w:val="left"/>
      <w:lvlText w:val="%2"/>
      <w:numFmt w:val="lowerLetter"/>
      <w:start w:val="1"/>
    </w:lvl>
  </w:abstractNum>
  <w:abstractNum w:abstractNumId="80">
    <w:nsid w:val="49DA307D"/>
    <w:multiLevelType w:val="hybridMultilevel"/>
    <w:lvl w:ilvl="0">
      <w:lvlJc w:val="left"/>
      <w:lvlText w:val="(%1)"/>
      <w:numFmt w:val="lowerLetter"/>
      <w:start w:val="2"/>
    </w:lvl>
  </w:abstractNum>
  <w:abstractNum w:abstractNumId="81">
    <w:nsid w:val="7055A5F5"/>
    <w:multiLevelType w:val="hybridMultilevel"/>
    <w:lvl w:ilvl="0">
      <w:lvlJc w:val="left"/>
      <w:lvlText w:val="(%1)"/>
      <w:numFmt w:val="lowerLetter"/>
      <w:start w:val="1"/>
    </w:lvl>
    <w:lvl w:ilvl="1">
      <w:lvlJc w:val="left"/>
      <w:lvlText w:val="(%2)"/>
      <w:numFmt w:val="lowerRoman"/>
      <w:start w:val="1"/>
    </w:lvl>
  </w:abstractNum>
  <w:abstractNum w:abstractNumId="82">
    <w:nsid w:val="5FB8370B"/>
    <w:multiLevelType w:val="hybridMultilevel"/>
    <w:lvl w:ilvl="0">
      <w:lvlJc w:val="left"/>
      <w:lvlText w:val="(%1)"/>
      <w:numFmt w:val="lowerLetter"/>
      <w:start w:val="3"/>
    </w:lvl>
    <w:lvl w:ilvl="1">
      <w:lvlJc w:val="left"/>
      <w:lvlText w:val="(%2)"/>
      <w:numFmt w:val="lowerLetter"/>
      <w:start w:val="9"/>
    </w:lvl>
  </w:abstractNum>
  <w:abstractNum w:abstractNumId="83">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4">
    <w:nsid w:val="488AC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5">
    <w:nsid w:val="5FB8011C"/>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3"/>
    </w:lvl>
  </w:abstractNum>
  <w:abstractNum w:abstractNumId="86">
    <w:nsid w:val="6AA78F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7">
    <w:nsid w:val="7672BD2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decimal"/>
      <w:start w:val="1"/>
    </w:lvl>
    <w:lvl w:ilvl="1">
      <w:lvlJc w:val="left"/>
      <w:lvlText w:val="%2."/>
      <w:numFmt w:val="lowerLetter"/>
      <w:start w:val="1"/>
    </w:lvl>
  </w:abstractNum>
  <w:abstractNum w:abstractNumId="90">
    <w:nsid w:val="7D5E18F8"/>
    <w:multiLevelType w:val="hybridMultilevel"/>
    <w:lvl w:ilvl="0">
      <w:lvlJc w:val="left"/>
      <w:lvlText w:val="%1."/>
      <w:numFmt w:val="decimal"/>
      <w:start w:val="1"/>
    </w:lvl>
    <w:lvl w:ilvl="1">
      <w:lvlJc w:val="left"/>
      <w:lvlText w:val="%2."/>
      <w:numFmt w:val="lowerLetter"/>
      <w:start w:val="1"/>
    </w:lvl>
  </w:abstractNum>
  <w:abstractNum w:abstractNumId="91">
    <w:nsid w:val="5F3534A4"/>
    <w:multiLevelType w:val="hybridMultilevel"/>
    <w:lvl w:ilvl="0">
      <w:lvlJc w:val="left"/>
      <w:lvlText w:val="%1"/>
      <w:numFmt w:val="decimal"/>
      <w:start w:val="1"/>
    </w:lvl>
    <w:lvl w:ilvl="1">
      <w:lvlJc w:val="left"/>
      <w:lvlText w:val="%2."/>
      <w:numFmt w:val="decimal"/>
      <w:start w:val="1"/>
    </w:lvl>
  </w:abstractNum>
  <w:abstractNum w:abstractNumId="92">
    <w:nsid w:val="73A1821B"/>
    <w:multiLevelType w:val="hybridMultilevel"/>
    <w:lvl w:ilvl="0">
      <w:lvlJc w:val="left"/>
      <w:lvlText w:val="(%1)"/>
      <w:numFmt w:val="decimal"/>
      <w:start w:val="15"/>
    </w:lvl>
    <w:lvl w:ilvl="1">
      <w:lvlJc w:val="left"/>
      <w:lvlText w:val="%2"/>
      <w:numFmt w:val="decimal"/>
      <w:start w:val="1"/>
    </w:lvl>
  </w:abstractNum>
  <w:abstractNum w:abstractNumId="93">
    <w:nsid w:val="7DE67713"/>
    <w:multiLevelType w:val="hybridMultilevel"/>
    <w:lvl w:ilvl="0">
      <w:lvlJc w:val="left"/>
      <w:lvlText w:val="%1."/>
      <w:numFmt w:val="decimal"/>
      <w:start w:val="3"/>
    </w:lvl>
    <w:lvl w:ilvl="1">
      <w:lvlJc w:val="left"/>
      <w:lvlText w:val="%2."/>
      <w:numFmt w:val="lowerLetter"/>
      <w:start w:val="1"/>
    </w:lvl>
  </w:abstractNum>
  <w:abstractNum w:abstractNumId="94">
    <w:nsid w:val="555C55B5"/>
    <w:multiLevelType w:val="hybridMultilevel"/>
    <w:lvl w:ilvl="0">
      <w:lvlJc w:val="left"/>
      <w:lvlText w:val="%1."/>
      <w:numFmt w:val="decimal"/>
      <w:start w:val="5"/>
    </w:lvl>
    <w:lvl w:ilvl="1">
      <w:lvlJc w:val="left"/>
      <w:lvlText w:val="%2."/>
      <w:numFmt w:val="lowerLetter"/>
      <w:start w:val="1"/>
    </w:lvl>
  </w:abstractNum>
  <w:abstractNum w:abstractNumId="95">
    <w:nsid w:val="3FA62ACA"/>
    <w:multiLevelType w:val="hybridMultilevel"/>
    <w:lvl w:ilvl="0">
      <w:lvlJc w:val="left"/>
      <w:lvlText w:val="%1."/>
      <w:numFmt w:val="decimal"/>
      <w:start w:val="10"/>
    </w:lvl>
  </w:abstractNum>
  <w:abstractNum w:abstractNumId="96">
    <w:nsid w:val="14FCE74E"/>
    <w:multiLevelType w:val="hybridMultilevel"/>
    <w:lvl w:ilvl="0">
      <w:lvlJc w:val="left"/>
      <w:lvlText w:val="%1."/>
      <w:numFmt w:val="decimal"/>
      <w:start w:val="14"/>
    </w:lvl>
  </w:abstractNum>
  <w:abstractNum w:abstractNumId="97">
    <w:nsid w:val="6A3DD3E8"/>
    <w:multiLevelType w:val="hybridMultilevel"/>
    <w:lvl w:ilvl="0">
      <w:lvlJc w:val="left"/>
      <w:lvlText w:val="%1."/>
      <w:numFmt w:val="decimal"/>
      <w:start w:val="19"/>
    </w:lvl>
  </w:abstractNum>
  <w:abstractNum w:abstractNumId="98">
    <w:nsid w:val="71C91298"/>
    <w:multiLevelType w:val="hybridMultilevel"/>
    <w:lvl w:ilvl="0">
      <w:lvlJc w:val="left"/>
      <w:lvlText w:val="(%1)"/>
      <w:numFmt w:val="lowerRoman"/>
      <w:start w:val="2"/>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1">
    <w:nsid w:val="1FBFE8E0"/>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102">
    <w:nsid w:val="5092CA79"/>
    <w:multiLevelType w:val="hybridMultilevel"/>
    <w:lvl w:ilvl="0">
      <w:lvlJc w:val="left"/>
      <w:lvlText w:val="%1."/>
      <w:numFmt w:val="decimal"/>
      <w:start w:val="5"/>
    </w:lvl>
    <w:lvl w:ilvl="1">
      <w:lvlJc w:val="left"/>
      <w:lvlText w:val="%2."/>
      <w:numFmt w:val="lowerLetter"/>
      <w:start w:val="1"/>
    </w:lvl>
  </w:abstractNum>
  <w:abstractNum w:abstractNumId="103">
    <w:nsid w:val="1D545C4D"/>
    <w:multiLevelType w:val="hybridMultilevel"/>
    <w:lvl w:ilvl="0">
      <w:lvlJc w:val="left"/>
      <w:lvlText w:val="%1."/>
      <w:numFmt w:val="decimal"/>
      <w:start w:val="6"/>
    </w:lvl>
  </w:abstractNum>
  <w:abstractNum w:abstractNumId="104">
    <w:nsid w:val="59ADEA3D"/>
    <w:multiLevelType w:val="hybridMultilevel"/>
    <w:lvl w:ilvl="0">
      <w:lvlJc w:val="left"/>
      <w:lvlText w:val="%1."/>
      <w:numFmt w:val="decimal"/>
      <w:start w:val="10"/>
    </w:lvl>
  </w:abstractNum>
  <w:abstractNum w:abstractNumId="105">
    <w:nsid w:val="288F1A34"/>
    <w:multiLevelType w:val="hybridMultilevel"/>
    <w:lvl w:ilvl="0">
      <w:lvlJc w:val="left"/>
      <w:lvlText w:val="%1."/>
      <w:numFmt w:val="decimal"/>
      <w:start w:val="14"/>
    </w:lvl>
  </w:abstractNum>
  <w:abstractNum w:abstractNumId="106">
    <w:nsid w:val="2A155DBC"/>
    <w:multiLevelType w:val="hybridMultilevel"/>
    <w:lvl w:ilvl="0">
      <w:lvlJc w:val="left"/>
      <w:lvlText w:val="%1."/>
      <w:numFmt w:val="decimal"/>
      <w:start w:val="19"/>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2026-06-18T06:34:20Z</dcterms:created>
  <dcterms:modified xsi:type="dcterms:W3CDTF">2026-06-18T06:34:20Z</dcterms:modified>
</cp:coreProperties>
</file>